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21B3" w14:textId="62C8C70E" w:rsidR="00464E1C" w:rsidRPr="00B455AC" w:rsidRDefault="006C0E96" w:rsidP="00B317BD">
      <w:pPr>
        <w:tabs>
          <w:tab w:val="center" w:pos="4748"/>
          <w:tab w:val="right" w:pos="6378"/>
        </w:tabs>
        <w:overflowPunct w:val="0"/>
        <w:autoSpaceDE w:val="0"/>
        <w:autoSpaceDN w:val="0"/>
        <w:adjustRightInd w:val="0"/>
        <w:spacing w:after="0" w:line="240" w:lineRule="auto"/>
        <w:ind w:right="2920"/>
        <w:contextualSpacing/>
        <w:textAlignment w:val="baseline"/>
        <w:rPr>
          <w:rFonts w:ascii="Times New Roman" w:eastAsia="Times New Roman" w:hAnsi="Times New Roman"/>
          <w:kern w:val="16"/>
          <w:lang w:eastAsia="fr-FR"/>
        </w:rPr>
      </w:pPr>
      <w:r w:rsidRPr="00B455AC">
        <w:rPr>
          <w:rFonts w:ascii="Times New Roman" w:hAnsi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979890" wp14:editId="57AEAA51">
                <wp:simplePos x="0" y="0"/>
                <wp:positionH relativeFrom="column">
                  <wp:posOffset>2658110</wp:posOffset>
                </wp:positionH>
                <wp:positionV relativeFrom="paragraph">
                  <wp:posOffset>298450</wp:posOffset>
                </wp:positionV>
                <wp:extent cx="3467100" cy="438150"/>
                <wp:effectExtent l="9525" t="9525" r="9525" b="9525"/>
                <wp:wrapNone/>
                <wp:docPr id="1864229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9B925" w14:textId="77777777" w:rsidR="001D481A" w:rsidRPr="005677E7" w:rsidRDefault="001D481A" w:rsidP="005677E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77E7">
                              <w:rPr>
                                <w:b/>
                                <w:sz w:val="36"/>
                                <w:szCs w:val="36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79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3pt;margin-top:23.5pt;width:273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">
                <v:textbox>
                  <w:txbxContent>
                    <w:p w14:paraId="6D79B925" w14:textId="77777777" w:rsidR="001D481A" w:rsidRPr="005677E7" w:rsidRDefault="001D481A" w:rsidP="005677E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677E7">
                        <w:rPr>
                          <w:b/>
                          <w:sz w:val="36"/>
                          <w:szCs w:val="36"/>
                        </w:rPr>
                        <w:t>FICHE DE POSTE</w:t>
                      </w:r>
                    </w:p>
                  </w:txbxContent>
                </v:textbox>
              </v:shape>
            </w:pict>
          </mc:Fallback>
        </mc:AlternateContent>
      </w:r>
      <w:r w:rsidRPr="00B455AC">
        <w:rPr>
          <w:rFonts w:ascii="Times New Roman" w:hAnsi="Times New Roman"/>
          <w:b/>
          <w:noProof/>
        </w:rPr>
        <w:drawing>
          <wp:inline distT="0" distB="0" distL="0" distR="0" wp14:anchorId="03C4B9A3" wp14:editId="4B8957ED">
            <wp:extent cx="1885950" cy="1041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1A899" w14:textId="77777777" w:rsidR="00464E1C" w:rsidRPr="00B455AC" w:rsidRDefault="00464E1C" w:rsidP="00B317BD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kern w:val="16"/>
          <w:lang w:eastAsia="fr-FR"/>
        </w:rPr>
      </w:pPr>
    </w:p>
    <w:tbl>
      <w:tblPr>
        <w:tblW w:w="10819" w:type="dxa"/>
        <w:tblInd w:w="-6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"/>
        <w:gridCol w:w="6521"/>
        <w:gridCol w:w="4253"/>
        <w:gridCol w:w="14"/>
        <w:gridCol w:w="10"/>
      </w:tblGrid>
      <w:tr w:rsidR="00464E1C" w:rsidRPr="00B455AC" w14:paraId="7510CA09" w14:textId="77777777" w:rsidTr="00B4217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1" w:type="dxa"/>
          <w:wAfter w:w="24" w:type="dxa"/>
          <w:cantSplit/>
          <w:trHeight w:val="30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D85" w14:textId="77777777" w:rsidR="00464E1C" w:rsidRPr="00B86811" w:rsidRDefault="00464E1C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kern w:val="16"/>
                <w:sz w:val="24"/>
                <w:szCs w:val="24"/>
                <w:lang w:eastAsia="fr-FR"/>
              </w:rPr>
            </w:pPr>
            <w:r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UNIVERSITE PARIS 1 – PANTHEON </w:t>
            </w:r>
            <w:r w:rsidR="00B455AC"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S</w:t>
            </w:r>
            <w:r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ORBONNE</w:t>
            </w:r>
          </w:p>
        </w:tc>
      </w:tr>
      <w:tr w:rsidR="00464E1C" w:rsidRPr="00B455AC" w14:paraId="3D9B87F1" w14:textId="77777777" w:rsidTr="00B4217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1" w:type="dxa"/>
          <w:wAfter w:w="24" w:type="dxa"/>
          <w:trHeight w:val="1573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23A97E" w14:textId="77777777" w:rsidR="00464E1C" w:rsidRDefault="00464E1C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  <w:r w:rsidRPr="00B317BD">
              <w:rPr>
                <w:rFonts w:eastAsia="Times New Roman"/>
                <w:b/>
                <w:bCs/>
                <w:kern w:val="16"/>
                <w:sz w:val="24"/>
                <w:szCs w:val="24"/>
                <w:lang w:eastAsia="fr-FR"/>
              </w:rPr>
              <w:t>INTITULÉ DU POSTE</w:t>
            </w:r>
            <w:r w:rsidR="003979C8">
              <w:rPr>
                <w:rFonts w:eastAsia="Times New Roman"/>
                <w:b/>
                <w:bCs/>
                <w:kern w:val="16"/>
                <w:sz w:val="24"/>
                <w:szCs w:val="24"/>
                <w:lang w:eastAsia="fr-FR"/>
              </w:rPr>
              <w:t xml:space="preserve"> </w:t>
            </w:r>
            <w:r w:rsidR="007353BD" w:rsidRPr="00B317BD">
              <w:rPr>
                <w:rFonts w:eastAsia="Times New Roman"/>
                <w:b/>
                <w:bCs/>
                <w:kern w:val="16"/>
                <w:sz w:val="24"/>
                <w:szCs w:val="24"/>
                <w:lang w:eastAsia="fr-FR"/>
              </w:rPr>
              <w:t>:</w:t>
            </w:r>
            <w:r w:rsidR="007353BD"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 </w:t>
            </w:r>
            <w:r w:rsidR="00D052B7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C</w:t>
            </w:r>
            <w:r w:rsidR="00D052B7" w:rsidRPr="00D052B7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hargé d'enseignement et d'ingénierie pédagogique</w:t>
            </w:r>
          </w:p>
          <w:p w14:paraId="132A01BF" w14:textId="77777777" w:rsidR="00B455AC" w:rsidRDefault="003979C8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</w:pPr>
            <w:r w:rsidRPr="003979C8"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  <w:t xml:space="preserve">PROFIL DU POSTE : Chargé d’enseignement </w:t>
            </w:r>
            <w:r w:rsidR="00D052B7" w:rsidRPr="00D052B7"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  <w:t xml:space="preserve">et d'ingénierie pédagogique </w:t>
            </w:r>
            <w:r w:rsidRPr="003979C8"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  <w:t>sous</w:t>
            </w:r>
            <w:bookmarkStart w:id="0" w:name="_Hlk104884638"/>
            <w:r w:rsidRPr="003979C8"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  <w:t xml:space="preserve"> contrat à durée déterminée à l’UFR </w:t>
            </w:r>
            <w:r w:rsidRPr="003979C8">
              <w:rPr>
                <w:rFonts w:eastAsia="Times New Roman"/>
                <w:b/>
                <w:i/>
                <w:iCs/>
                <w:color w:val="FF0000"/>
                <w:kern w:val="16"/>
                <w:sz w:val="24"/>
                <w:szCs w:val="24"/>
                <w:lang w:eastAsia="fr-FR"/>
              </w:rPr>
              <w:t>Ecole de Droit de la Sorbonne</w:t>
            </w:r>
            <w:r w:rsidRPr="003979C8"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  <w:t xml:space="preserve"> (en application de l’article L. 954-3 du Code de l’éducation)</w:t>
            </w:r>
            <w:bookmarkEnd w:id="0"/>
          </w:p>
          <w:p w14:paraId="4D91ADFD" w14:textId="77777777" w:rsidR="008A5A8B" w:rsidRPr="003979C8" w:rsidRDefault="008A5A8B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color w:val="FF0000"/>
                <w:kern w:val="16"/>
                <w:sz w:val="24"/>
                <w:szCs w:val="24"/>
                <w:lang w:eastAsia="fr-FR"/>
              </w:rPr>
            </w:pPr>
            <w:r w:rsidRPr="00E87D1B">
              <w:rPr>
                <w:rFonts w:eastAsia="Times New Roman"/>
                <w:b/>
                <w:color w:val="FF0000"/>
                <w:kern w:val="16"/>
                <w:sz w:val="24"/>
                <w:szCs w:val="24"/>
                <w:lang w:eastAsia="fr-FR"/>
              </w:rPr>
              <w:t>Temps partiel : 70%</w:t>
            </w:r>
          </w:p>
          <w:p w14:paraId="68CCA630" w14:textId="77777777" w:rsidR="00F23304" w:rsidRPr="00B86811" w:rsidRDefault="00F23304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E107321" w14:textId="77777777" w:rsidR="00464E1C" w:rsidRPr="007353BD" w:rsidRDefault="005677E7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  <w:r w:rsidRPr="007353BD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Catégorie </w:t>
            </w:r>
            <w:r w:rsidR="00E92807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A</w:t>
            </w:r>
          </w:p>
          <w:p w14:paraId="281D7DD9" w14:textId="77777777" w:rsidR="00741742" w:rsidRPr="00B86811" w:rsidRDefault="00741742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kern w:val="16"/>
                <w:sz w:val="24"/>
                <w:szCs w:val="24"/>
                <w:lang w:eastAsia="fr-FR"/>
              </w:rPr>
            </w:pPr>
          </w:p>
          <w:p w14:paraId="0E71C4E7" w14:textId="77777777" w:rsidR="00CE603C" w:rsidRPr="00B86811" w:rsidRDefault="00CE603C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/>
                <w:kern w:val="16"/>
                <w:sz w:val="24"/>
                <w:szCs w:val="24"/>
                <w:lang w:eastAsia="fr-FR"/>
              </w:rPr>
            </w:pPr>
          </w:p>
        </w:tc>
      </w:tr>
      <w:tr w:rsidR="00464E1C" w:rsidRPr="00B455AC" w14:paraId="09878255" w14:textId="77777777" w:rsidTr="00B4217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1" w:type="dxa"/>
          <w:wAfter w:w="24" w:type="dxa"/>
          <w:cantSplit/>
          <w:trHeight w:val="40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00F8" w14:textId="77777777" w:rsidR="00741742" w:rsidRPr="00B86811" w:rsidRDefault="00741742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</w:p>
          <w:p w14:paraId="2B20EA75" w14:textId="77777777" w:rsidR="00464E1C" w:rsidRPr="00B86811" w:rsidRDefault="00464E1C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  <w:r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LOCALISATION : Institut d’Etudes Judiciaires </w:t>
            </w:r>
            <w:r w:rsidR="00840980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de la Sorbonne</w:t>
            </w:r>
          </w:p>
          <w:p w14:paraId="28CF6578" w14:textId="77777777" w:rsidR="00741742" w:rsidRPr="00B86811" w:rsidRDefault="001F11B2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  <w:r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12 place du Panthéon</w:t>
            </w:r>
            <w:r w:rsidR="00741742"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, 75005 Paris </w:t>
            </w:r>
          </w:p>
          <w:p w14:paraId="377473B4" w14:textId="77777777" w:rsidR="00741742" w:rsidRPr="00B86811" w:rsidRDefault="00741742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</w:p>
        </w:tc>
      </w:tr>
      <w:tr w:rsidR="00464E1C" w:rsidRPr="00B455AC" w14:paraId="3CDA6612" w14:textId="77777777" w:rsidTr="00B4217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1" w:type="dxa"/>
          <w:wAfter w:w="24" w:type="dxa"/>
          <w:cantSplit/>
          <w:trHeight w:val="42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E9FA45D" w14:textId="77777777" w:rsidR="00741742" w:rsidRPr="00B86811" w:rsidRDefault="00741742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</w:pPr>
          </w:p>
          <w:p w14:paraId="3D714114" w14:textId="77777777" w:rsidR="00464E1C" w:rsidRPr="00B86811" w:rsidRDefault="00464E1C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Times New Roman"/>
                <w:kern w:val="16"/>
                <w:sz w:val="24"/>
                <w:szCs w:val="24"/>
                <w:lang w:eastAsia="fr-FR"/>
              </w:rPr>
            </w:pPr>
            <w:r w:rsidRPr="00B8681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Rattachement hiérarchique :   </w:t>
            </w:r>
            <w:r w:rsidR="00F44ED1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Direct</w:t>
            </w:r>
            <w:r w:rsidR="00840980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 xml:space="preserve">ion de l’IEJ </w:t>
            </w:r>
            <w:r w:rsidR="00C10D97">
              <w:rPr>
                <w:rFonts w:eastAsia="Times New Roman"/>
                <w:b/>
                <w:kern w:val="16"/>
                <w:sz w:val="24"/>
                <w:szCs w:val="24"/>
                <w:lang w:eastAsia="fr-FR"/>
              </w:rPr>
              <w:t>&amp; Directeur du pôle SIR</w:t>
            </w:r>
          </w:p>
        </w:tc>
      </w:tr>
      <w:tr w:rsidR="00464E1C" w:rsidRPr="00B455AC" w14:paraId="72BC0D99" w14:textId="77777777" w:rsidTr="00B42175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1" w:type="dxa"/>
          <w:wAfter w:w="24" w:type="dxa"/>
          <w:trHeight w:val="10247"/>
        </w:trPr>
        <w:tc>
          <w:tcPr>
            <w:tcW w:w="10774" w:type="dxa"/>
            <w:gridSpan w:val="2"/>
            <w:tcBorders>
              <w:top w:val="single" w:sz="6" w:space="0" w:color="auto"/>
              <w:bottom w:val="nil"/>
            </w:tcBorders>
          </w:tcPr>
          <w:p w14:paraId="218A9729" w14:textId="77777777" w:rsidR="00464E1C" w:rsidRPr="00496EE6" w:rsidRDefault="00464E1C" w:rsidP="00B317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Calibri"/>
                <w:smallCaps/>
                <w:kern w:val="16"/>
                <w:sz w:val="24"/>
                <w:szCs w:val="24"/>
                <w:lang w:eastAsia="fr-FR"/>
              </w:rPr>
            </w:pPr>
          </w:p>
          <w:p w14:paraId="5CD5B278" w14:textId="77777777" w:rsidR="00741742" w:rsidRPr="00496EE6" w:rsidRDefault="00741742" w:rsidP="00B317BD">
            <w:pPr>
              <w:spacing w:line="240" w:lineRule="auto"/>
              <w:jc w:val="both"/>
              <w:rPr>
                <w:rFonts w:cs="Calibri"/>
                <w:b/>
                <w:sz w:val="24"/>
                <w:szCs w:val="24"/>
                <w:u w:val="single"/>
              </w:rPr>
            </w:pPr>
            <w:r w:rsidRPr="00496EE6">
              <w:rPr>
                <w:rFonts w:cs="Calibri"/>
                <w:b/>
                <w:sz w:val="24"/>
                <w:szCs w:val="24"/>
                <w:u w:val="single"/>
              </w:rPr>
              <w:t>Structure :</w:t>
            </w:r>
          </w:p>
          <w:p w14:paraId="0D2C96BD" w14:textId="77777777" w:rsidR="00741742" w:rsidRPr="00496EE6" w:rsidRDefault="00741742" w:rsidP="00B317BD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96EE6">
              <w:rPr>
                <w:rFonts w:cs="Calibri"/>
                <w:sz w:val="24"/>
                <w:szCs w:val="24"/>
              </w:rPr>
              <w:t xml:space="preserve">L’IEJ </w:t>
            </w:r>
            <w:r w:rsidR="00840980">
              <w:rPr>
                <w:rFonts w:cs="Calibri"/>
                <w:sz w:val="24"/>
                <w:szCs w:val="24"/>
              </w:rPr>
              <w:t>de la Sorbonne</w:t>
            </w:r>
            <w:r w:rsidRPr="00496EE6">
              <w:rPr>
                <w:rFonts w:cs="Calibri"/>
                <w:sz w:val="24"/>
                <w:szCs w:val="24"/>
              </w:rPr>
              <w:t xml:space="preserve"> </w:t>
            </w:r>
            <w:r w:rsidR="00D128EB">
              <w:rPr>
                <w:rFonts w:cs="Calibri"/>
                <w:sz w:val="24"/>
                <w:szCs w:val="24"/>
              </w:rPr>
              <w:t xml:space="preserve">a </w:t>
            </w:r>
            <w:r w:rsidRPr="00496EE6">
              <w:rPr>
                <w:rFonts w:cs="Calibri"/>
                <w:sz w:val="24"/>
                <w:szCs w:val="24"/>
              </w:rPr>
              <w:t>pour mission de former et de préparer les étudiants à l’examen d’accès au Centre Régional de formation professionnelle des Avocats (CRFPA) et de l’Ec</w:t>
            </w:r>
            <w:r w:rsidR="008D58DF" w:rsidRPr="00496EE6">
              <w:rPr>
                <w:rFonts w:cs="Calibri"/>
                <w:sz w:val="24"/>
                <w:szCs w:val="24"/>
              </w:rPr>
              <w:t>ole nationale de la Magistrature (ENM)</w:t>
            </w:r>
            <w:r w:rsidRPr="00496EE6">
              <w:rPr>
                <w:rFonts w:cs="Calibri"/>
                <w:sz w:val="24"/>
                <w:szCs w:val="24"/>
              </w:rPr>
              <w:t xml:space="preserve">. </w:t>
            </w:r>
          </w:p>
          <w:p w14:paraId="029F8EC8" w14:textId="77777777" w:rsidR="00741742" w:rsidRDefault="00741742" w:rsidP="00B317BD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496EE6">
              <w:rPr>
                <w:rFonts w:cs="Calibri"/>
                <w:sz w:val="24"/>
                <w:szCs w:val="24"/>
              </w:rPr>
              <w:t xml:space="preserve">L’IEJ </w:t>
            </w:r>
            <w:r w:rsidR="00840980">
              <w:rPr>
                <w:rFonts w:cs="Calibri"/>
                <w:sz w:val="24"/>
                <w:szCs w:val="24"/>
              </w:rPr>
              <w:t>de la Sorbonne</w:t>
            </w:r>
            <w:r w:rsidR="00840980" w:rsidRPr="00496EE6">
              <w:rPr>
                <w:rFonts w:cs="Calibri"/>
                <w:sz w:val="24"/>
                <w:szCs w:val="24"/>
              </w:rPr>
              <w:t xml:space="preserve"> </w:t>
            </w:r>
            <w:r w:rsidRPr="00496EE6">
              <w:rPr>
                <w:rFonts w:cs="Calibri"/>
                <w:sz w:val="24"/>
                <w:szCs w:val="24"/>
              </w:rPr>
              <w:t xml:space="preserve">propose des formations à distance, en présentiel, des </w:t>
            </w:r>
            <w:r w:rsidR="00F44ED1" w:rsidRPr="00496EE6">
              <w:rPr>
                <w:rFonts w:cs="Calibri"/>
                <w:sz w:val="24"/>
                <w:szCs w:val="24"/>
              </w:rPr>
              <w:t>préparations tout</w:t>
            </w:r>
            <w:r w:rsidR="008D58DF" w:rsidRPr="00496EE6">
              <w:rPr>
                <w:rFonts w:cs="Calibri"/>
                <w:sz w:val="24"/>
                <w:szCs w:val="24"/>
              </w:rPr>
              <w:t xml:space="preserve"> au long de l’année</w:t>
            </w:r>
            <w:r w:rsidRPr="00496EE6">
              <w:rPr>
                <w:rFonts w:cs="Calibri"/>
                <w:sz w:val="24"/>
                <w:szCs w:val="24"/>
              </w:rPr>
              <w:t>, des galops d’essais, et des préparations d’été.</w:t>
            </w:r>
          </w:p>
          <w:p w14:paraId="3E353206" w14:textId="77777777" w:rsidR="00C10D97" w:rsidRPr="00496EE6" w:rsidRDefault="00C10D97" w:rsidP="00B317BD">
            <w:pPr>
              <w:spacing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L’IEJ de la Sorbonne déploie depuis quelques années, à côté des deux pôles traditionnels précités, un volet davantage axé sur la justice économique, appelé Sorbonne Insolvabilité &amp; Restructuration (SIR). Ce pôle propose une offre pédagogique spécifique tant par son domaine de niche, les procédures collectives, que par le type de formations dispensées.</w:t>
            </w:r>
          </w:p>
          <w:p w14:paraId="19CCDFD5" w14:textId="77777777" w:rsidR="003F05EF" w:rsidRPr="00496EE6" w:rsidRDefault="003F05EF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fr-FR"/>
              </w:rPr>
            </w:pPr>
            <w:r w:rsidRPr="00496EE6">
              <w:rPr>
                <w:rFonts w:cs="Calibri"/>
                <w:b/>
                <w:bCs/>
                <w:sz w:val="24"/>
                <w:szCs w:val="24"/>
                <w:lang w:eastAsia="fr-FR"/>
              </w:rPr>
              <w:t>CARACTÉRISTIQUES DU POSTE :</w:t>
            </w:r>
          </w:p>
          <w:p w14:paraId="63B3BC14" w14:textId="77777777" w:rsidR="005E455C" w:rsidRDefault="006C2C9A" w:rsidP="00982D04">
            <w:pPr>
              <w:pStyle w:val="NormalWeb"/>
              <w:shd w:val="clear" w:color="auto" w:fill="FFFFFF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L’IEJ de la Sorbonne recrute un c</w:t>
            </w:r>
            <w:r w:rsidR="00C10D97">
              <w:rPr>
                <w:rFonts w:ascii="Calibri" w:hAnsi="Calibri" w:cs="Calibri"/>
              </w:rPr>
              <w:t>hargé de missions pédagogiques et administratives, l’agent assure les missions déléguées par le directeur du pôle SIR et l’accompagne dans l’orientation stratégique et pédagogique du pôle.</w:t>
            </w:r>
            <w:r>
              <w:rPr>
                <w:rFonts w:ascii="Calibri" w:hAnsi="Calibri" w:cs="Calibri"/>
              </w:rPr>
              <w:t xml:space="preserve"> </w:t>
            </w:r>
            <w:r w:rsidRPr="00982D04">
              <w:rPr>
                <w:rFonts w:ascii="Calibri" w:hAnsi="Calibri" w:cs="Calibri"/>
              </w:rPr>
              <w:t xml:space="preserve">La personne sera recrutée à </w:t>
            </w:r>
            <w:r w:rsidR="00B42175">
              <w:rPr>
                <w:rFonts w:ascii="Calibri" w:hAnsi="Calibri" w:cs="Calibri"/>
              </w:rPr>
              <w:t>70%</w:t>
            </w:r>
            <w:r w:rsidRPr="00982D04">
              <w:rPr>
                <w:rFonts w:ascii="Calibri" w:hAnsi="Calibri" w:cs="Calibri"/>
              </w:rPr>
              <w:t xml:space="preserve"> et assurera un service d’enseignement de </w:t>
            </w:r>
            <w:r w:rsidR="00B42175">
              <w:rPr>
                <w:rFonts w:ascii="Calibri" w:hAnsi="Calibri" w:cs="Calibri"/>
              </w:rPr>
              <w:t xml:space="preserve">135 </w:t>
            </w:r>
            <w:r w:rsidRPr="00982D04">
              <w:rPr>
                <w:rFonts w:ascii="Calibri" w:hAnsi="Calibri" w:cs="Calibri"/>
              </w:rPr>
              <w:t>HETD</w:t>
            </w:r>
            <w:r w:rsidR="00B42175">
              <w:rPr>
                <w:rFonts w:ascii="Calibri" w:hAnsi="Calibri" w:cs="Calibri"/>
              </w:rPr>
              <w:t>.</w:t>
            </w:r>
            <w:r w:rsidR="00982D04" w:rsidRPr="00982D04">
              <w:rPr>
                <w:rFonts w:ascii="Calibri" w:hAnsi="Calibri" w:cs="Calibri"/>
              </w:rPr>
              <w:t xml:space="preserve"> </w:t>
            </w:r>
          </w:p>
          <w:p w14:paraId="014332F8" w14:textId="77777777" w:rsidR="00DF1CEA" w:rsidRDefault="00B13384" w:rsidP="00B317B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  <w:r w:rsidRPr="006F7256">
              <w:rPr>
                <w:rFonts w:eastAsia="Times New Roman" w:cs="Calibri"/>
                <w:b/>
                <w:sz w:val="24"/>
                <w:szCs w:val="24"/>
                <w:lang w:eastAsia="fr-FR"/>
              </w:rPr>
              <w:t>1.</w:t>
            </w:r>
            <w:r w:rsidR="00C10D97"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 xml:space="preserve"> Développement pédagogique des formations du pôle SIR</w:t>
            </w:r>
          </w:p>
          <w:p w14:paraId="0A07168F" w14:textId="77777777" w:rsidR="00C10D97" w:rsidRPr="00C10D97" w:rsidRDefault="00C10D97" w:rsidP="00C10D97">
            <w:pPr>
              <w:pStyle w:val="Paragraphedeliste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Force de proposition pour les orientations et pratiques pédagogiques du pôle</w:t>
            </w:r>
          </w:p>
          <w:p w14:paraId="4CF923D9" w14:textId="77777777" w:rsidR="00C10D97" w:rsidRPr="00C10D97" w:rsidRDefault="00C10D97" w:rsidP="00C10D97">
            <w:pPr>
              <w:pStyle w:val="Paragraphedeliste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Elaboration des différents dossiers pour les passages en commission universitaire, en lien avec le responsable administratif de l’IEJ :</w:t>
            </w:r>
          </w:p>
          <w:p w14:paraId="0CE10E25" w14:textId="77777777" w:rsidR="00C10D97" w:rsidRPr="00C10D97" w:rsidRDefault="00C10D97" w:rsidP="00750D0D">
            <w:pPr>
              <w:pStyle w:val="Paragraphedelist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Modification des fiches financières et des frais d’inscription</w:t>
            </w:r>
          </w:p>
          <w:p w14:paraId="30E85631" w14:textId="77777777" w:rsidR="00C10D97" w:rsidRPr="00C10D97" w:rsidRDefault="00C10D97" w:rsidP="00750D0D">
            <w:pPr>
              <w:pStyle w:val="Paragraphedelist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Modification des maquettes et RCC des formations</w:t>
            </w:r>
          </w:p>
          <w:p w14:paraId="5C3F6AD8" w14:textId="77777777" w:rsidR="00C10D97" w:rsidRPr="00C10D97" w:rsidRDefault="00C10D97" w:rsidP="00750D0D">
            <w:pPr>
              <w:pStyle w:val="Paragraphedelist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Création de nouveaux diplômes</w:t>
            </w:r>
          </w:p>
          <w:p w14:paraId="07F2C088" w14:textId="77777777" w:rsidR="00A50331" w:rsidRDefault="00C10D97" w:rsidP="00C10D97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Coordination</w:t>
            </w: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administrati</w:t>
            </w: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ve</w:t>
            </w: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(candidatures, inscriptions, formation continue</w:t>
            </w: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, délivrance des diplômes</w:t>
            </w:r>
            <w:r w:rsidRP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etc.) des diplômes nouvellement créés pendant la première année suivant la conception</w:t>
            </w:r>
          </w:p>
          <w:p w14:paraId="06D0CFA4" w14:textId="77777777" w:rsidR="00C10D97" w:rsidRDefault="00A50331" w:rsidP="00C10D97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Supervision </w:t>
            </w:r>
            <w:r w:rsidR="00C10D9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de la plateforme pédagogique</w:t>
            </w:r>
          </w:p>
          <w:p w14:paraId="13BA7CD4" w14:textId="77777777" w:rsidR="006C2C9A" w:rsidRDefault="006C2C9A" w:rsidP="00C10D97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Développement de la formation continue des diverses formations :</w:t>
            </w:r>
          </w:p>
          <w:p w14:paraId="745397F8" w14:textId="77777777" w:rsidR="006C2C9A" w:rsidRDefault="006C2C9A" w:rsidP="006C2C9A">
            <w:pPr>
              <w:pStyle w:val="Paragraphedeliste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Habilitation des DU sur France compétences</w:t>
            </w:r>
          </w:p>
          <w:p w14:paraId="45FA05D2" w14:textId="77777777" w:rsidR="006C2C9A" w:rsidRDefault="006C2C9A" w:rsidP="006C2C9A">
            <w:pPr>
              <w:pStyle w:val="Paragraphedeliste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Supervision de la procédure d’inscription en FC et de la gestion des plateformes partenaires (CPF, Dokelio, Transition pro etc.)</w:t>
            </w:r>
          </w:p>
          <w:p w14:paraId="23BE2587" w14:textId="77777777" w:rsidR="00CF129A" w:rsidRPr="00CF129A" w:rsidRDefault="00CF129A" w:rsidP="00CF129A">
            <w:pPr>
              <w:pStyle w:val="Paragraphedeliste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 w:rsidRPr="00CF129A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Recherche de subventions</w:t>
            </w: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pour l’organisation des événements scientifiques du pôle</w:t>
            </w:r>
            <w:r w:rsidRPr="00CF129A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, élaboration des dossiers de demande en interne (IRJS, CVEC etc.) ou en externe (Bercy, CNAJMJ etc.)</w:t>
            </w:r>
          </w:p>
          <w:p w14:paraId="50B27685" w14:textId="77777777" w:rsidR="001E1B92" w:rsidRDefault="00B13384" w:rsidP="00B317B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  <w:r w:rsidRPr="006F7256">
              <w:rPr>
                <w:rFonts w:eastAsia="Times New Roman" w:cs="Calibri"/>
                <w:b/>
                <w:sz w:val="24"/>
                <w:szCs w:val="24"/>
                <w:lang w:eastAsia="fr-FR"/>
              </w:rPr>
              <w:t>2.</w:t>
            </w:r>
            <w:r w:rsidR="00C10D97"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>Responsabilité pédagogique du Master 2 Administration et liquidation des entreprises en difficulté</w:t>
            </w:r>
          </w:p>
          <w:p w14:paraId="6979BB48" w14:textId="77777777" w:rsidR="00E87D1B" w:rsidRDefault="00E87D1B" w:rsidP="00B317B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En lien avec le directeur du diplôme :</w:t>
            </w:r>
          </w:p>
          <w:p w14:paraId="7E12B9BB" w14:textId="77777777" w:rsidR="00991186" w:rsidRDefault="00C10D97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Elaboration du programme de formation et </w:t>
            </w:r>
            <w:r w:rsidR="00A50331">
              <w:rPr>
                <w:rFonts w:eastAsia="Times New Roman" w:cs="Calibri"/>
                <w:sz w:val="24"/>
                <w:szCs w:val="24"/>
                <w:lang w:eastAsia="fr-FR"/>
              </w:rPr>
              <w:t xml:space="preserve">recrutement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des intervenants </w:t>
            </w:r>
          </w:p>
          <w:p w14:paraId="2F6C2F73" w14:textId="77777777" w:rsidR="00C10D97" w:rsidRDefault="00C10D97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Sélection des étudiants : examen des candidatures, entretiens et participation aux délibérations d’admission à la formation</w:t>
            </w:r>
          </w:p>
          <w:p w14:paraId="646513A2" w14:textId="77777777" w:rsidR="00750D0D" w:rsidRDefault="00750D0D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Participation aux jurys de soutenance d’alternance et de mémoires</w:t>
            </w:r>
          </w:p>
          <w:p w14:paraId="14AF2B49" w14:textId="77777777" w:rsidR="00750D0D" w:rsidRDefault="00750D0D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Participation aux </w:t>
            </w:r>
            <w:r w:rsidR="00493BA9">
              <w:rPr>
                <w:rFonts w:eastAsia="Times New Roman" w:cs="Calibri"/>
                <w:sz w:val="24"/>
                <w:szCs w:val="24"/>
                <w:lang w:eastAsia="fr-FR"/>
              </w:rPr>
              <w:t xml:space="preserve">délibérations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>de validation du diplôme</w:t>
            </w:r>
          </w:p>
          <w:p w14:paraId="1F1C458C" w14:textId="77777777" w:rsidR="00750D0D" w:rsidRDefault="00750D0D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Enseignement : méthodologie du mémoire et ateliers de professionnalisation (CV, lettre de motivation etc.)</w:t>
            </w:r>
          </w:p>
          <w:p w14:paraId="1AA4BDEA" w14:textId="77777777" w:rsidR="00750D0D" w:rsidRDefault="00750D0D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Direction de mémoires</w:t>
            </w:r>
          </w:p>
          <w:p w14:paraId="3D167A5F" w14:textId="77777777" w:rsidR="00750D0D" w:rsidRDefault="00750D0D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Coordination de l’organisation des soutenances, voyage pédagogique, remise des diplômes</w:t>
            </w:r>
          </w:p>
          <w:p w14:paraId="2261697A" w14:textId="77777777" w:rsidR="00750D0D" w:rsidRDefault="00750D0D" w:rsidP="00C10D97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Gestion du régime de l’alternance : </w:t>
            </w:r>
          </w:p>
          <w:p w14:paraId="0E18346E" w14:textId="77777777" w:rsidR="00750D0D" w:rsidRDefault="00750D0D" w:rsidP="00750D0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Placement des alternants dans les cabinets </w:t>
            </w:r>
            <w:r w:rsidR="00493BA9">
              <w:rPr>
                <w:rFonts w:eastAsia="Times New Roman" w:cs="Calibri"/>
                <w:sz w:val="24"/>
                <w:szCs w:val="24"/>
                <w:lang w:eastAsia="fr-FR"/>
              </w:rPr>
              <w:t xml:space="preserve">d’avocats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et </w:t>
            </w:r>
            <w:r w:rsidR="00493BA9">
              <w:rPr>
                <w:rFonts w:eastAsia="Times New Roman" w:cs="Calibri"/>
                <w:sz w:val="24"/>
                <w:szCs w:val="24"/>
                <w:lang w:eastAsia="fr-FR"/>
              </w:rPr>
              <w:t xml:space="preserve">les </w:t>
            </w:r>
            <w:r>
              <w:rPr>
                <w:rFonts w:eastAsia="Times New Roman" w:cs="Calibri"/>
                <w:sz w:val="24"/>
                <w:szCs w:val="24"/>
                <w:lang w:eastAsia="fr-FR"/>
              </w:rPr>
              <w:t>études</w:t>
            </w:r>
            <w:r w:rsidR="00493BA9">
              <w:rPr>
                <w:rFonts w:eastAsia="Times New Roman" w:cs="Calibri"/>
                <w:sz w:val="24"/>
                <w:szCs w:val="24"/>
                <w:lang w:eastAsia="fr-FR"/>
              </w:rPr>
              <w:t xml:space="preserve"> d’administrateurs et de mandataires judiciaires</w:t>
            </w:r>
          </w:p>
          <w:p w14:paraId="51A021E6" w14:textId="77777777" w:rsidR="00750D0D" w:rsidRDefault="00493BA9" w:rsidP="00750D0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Formation et s</w:t>
            </w:r>
            <w:r w:rsidR="00750D0D">
              <w:rPr>
                <w:rFonts w:eastAsia="Times New Roman" w:cs="Calibri"/>
                <w:sz w:val="24"/>
                <w:szCs w:val="24"/>
                <w:lang w:eastAsia="fr-FR"/>
              </w:rPr>
              <w:t>upervision des tuteurs pédagogiques</w:t>
            </w:r>
          </w:p>
          <w:p w14:paraId="07414867" w14:textId="77777777" w:rsidR="00750D0D" w:rsidRDefault="00750D0D" w:rsidP="00750D0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Traitement des conventions de partenariat avec Formasup’ IDF (négociation reste à charge, RGPD etc.)</w:t>
            </w:r>
          </w:p>
          <w:p w14:paraId="6E8354B5" w14:textId="77777777" w:rsidR="00750D0D" w:rsidRDefault="00750D0D" w:rsidP="00750D0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>Supervision de la plateforme Formalink’</w:t>
            </w:r>
          </w:p>
          <w:p w14:paraId="3F5593EC" w14:textId="77777777" w:rsidR="00750D0D" w:rsidRPr="00750D0D" w:rsidRDefault="00750D0D" w:rsidP="00750D0D">
            <w:pPr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sz w:val="24"/>
                <w:szCs w:val="24"/>
                <w:lang w:eastAsia="fr-FR"/>
              </w:rPr>
              <w:t xml:space="preserve">Suivi du bon respect des règles de l’apprentissage et du contrat de professionnalisation </w:t>
            </w:r>
          </w:p>
          <w:p w14:paraId="51189B6D" w14:textId="77777777" w:rsidR="00750D0D" w:rsidRDefault="00750D0D" w:rsidP="00750D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  <w:p w14:paraId="380F8482" w14:textId="77777777" w:rsidR="00CF129A" w:rsidRDefault="00750D0D" w:rsidP="00750D0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>3</w:t>
            </w:r>
            <w:r w:rsidRPr="006F7256">
              <w:rPr>
                <w:rFonts w:eastAsia="Times New Roman" w:cs="Calibri"/>
                <w:b/>
                <w:sz w:val="24"/>
                <w:szCs w:val="24"/>
                <w:lang w:eastAsia="fr-FR"/>
              </w:rPr>
              <w:t>.</w:t>
            </w:r>
            <w: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 xml:space="preserve"> Co-direction du DU Pratique judiciaire des activités économiques</w:t>
            </w:r>
          </w:p>
          <w:p w14:paraId="465B35E2" w14:textId="77777777" w:rsidR="00D86547" w:rsidRDefault="00750D0D" w:rsidP="00D8654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- </w:t>
            </w:r>
            <w:r w:rsidR="00493BA9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</w:t>
            </w:r>
            <w:r w:rsidR="00493BA9" w:rsidRPr="00493BA9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Création et valorisation de la formation</w:t>
            </w:r>
            <w:r w:rsidR="00B42175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</w:t>
            </w:r>
            <w:r w:rsidR="00D8654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:</w:t>
            </w:r>
          </w:p>
          <w:p w14:paraId="342F03F5" w14:textId="77777777" w:rsidR="00493BA9" w:rsidRDefault="00D86547" w:rsidP="00D86547">
            <w:pPr>
              <w:pStyle w:val="Paragraphedeliste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Négociation de partenariats avec les présidents de juridiction (notamment les nouveaux Tribunaux des activités économiques à destination de qui est créée la formation</w:t>
            </w:r>
            <w:r w:rsidR="00493BA9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)</w:t>
            </w: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0AB79437" w14:textId="77777777" w:rsidR="00D86547" w:rsidRDefault="00493BA9" w:rsidP="00D86547">
            <w:pPr>
              <w:pStyle w:val="Paragraphedeliste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Actions de promotion en collaboration avec </w:t>
            </w:r>
            <w:r w:rsidR="00D8654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la Conférence générale des </w:t>
            </w: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tribunaux </w:t>
            </w:r>
            <w:r w:rsidR="00D8654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de </w:t>
            </w: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c</w:t>
            </w:r>
            <w:r w:rsidR="00D86547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ommerce </w:t>
            </w:r>
          </w:p>
          <w:p w14:paraId="3FBDBD06" w14:textId="77777777" w:rsidR="00750D0D" w:rsidRDefault="00D86547" w:rsidP="00750D0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- </w:t>
            </w:r>
            <w:r w:rsidR="00750D0D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Elaboration du programme de formation</w:t>
            </w:r>
            <w:r w:rsidR="00493BA9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 et conception de la maquette en accord avec les intervenants</w:t>
            </w:r>
          </w:p>
          <w:p w14:paraId="6D096E1D" w14:textId="77777777" w:rsidR="00750D0D" w:rsidRDefault="00750D0D" w:rsidP="00750D0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- Gestion de la plateforme pédagogique (mises en ligne des thèmes de cours, des QCM, etc.)</w:t>
            </w:r>
          </w:p>
          <w:p w14:paraId="1DD22DB2" w14:textId="77777777" w:rsidR="00750D0D" w:rsidRDefault="00750D0D" w:rsidP="00750D0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- Conception des cours en ligne : capsules vidéo de cours, supports écrits (synthèse du cours et rubrique « pour aller plus loin » recensant la jurisprudence et la doctrine sur chaque thème)</w:t>
            </w:r>
          </w:p>
          <w:p w14:paraId="232FD384" w14:textId="77777777" w:rsidR="00750D0D" w:rsidRDefault="00750D0D" w:rsidP="00750D0D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- Encadrement pédagogique :</w:t>
            </w:r>
          </w:p>
          <w:p w14:paraId="7CD23E39" w14:textId="77777777" w:rsidR="00750D0D" w:rsidRDefault="00750D0D" w:rsidP="00750D0D">
            <w:pPr>
              <w:pStyle w:val="Paragraphedeliste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 xml:space="preserve">Accompagnement méthodologique : animation de séances de méthodologie du droit pour </w:t>
            </w:r>
            <w:r w:rsidR="00B65223"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les juges consulaires</w:t>
            </w:r>
          </w:p>
          <w:p w14:paraId="28AA17A8" w14:textId="77777777" w:rsidR="00750D0D" w:rsidRDefault="00750D0D" w:rsidP="00750D0D">
            <w:pPr>
              <w:pStyle w:val="Paragraphedeliste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9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fr-FR"/>
              </w:rPr>
              <w:t>Séances d’actualisation en présentiel</w:t>
            </w:r>
          </w:p>
          <w:p w14:paraId="205A40C1" w14:textId="77777777" w:rsidR="00D86547" w:rsidRDefault="00D86547" w:rsidP="00D8654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fr-FR"/>
              </w:rPr>
            </w:pPr>
          </w:p>
          <w:p w14:paraId="4172F2D9" w14:textId="77777777" w:rsidR="00D86547" w:rsidRPr="00D86547" w:rsidRDefault="00D86547" w:rsidP="00D86547">
            <w:pPr>
              <w:pStyle w:val="Paragraphedelist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fr-FR"/>
              </w:rPr>
              <w:t xml:space="preserve">4. </w:t>
            </w:r>
            <w: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>Travaux dirigés en Licence en droit civil ou droit des affaires (</w:t>
            </w:r>
            <w:r w:rsidR="00B65223"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 xml:space="preserve">notamment en </w:t>
            </w:r>
            <w:r>
              <w:rPr>
                <w:rFonts w:eastAsia="Times New Roman" w:cs="Calibri"/>
                <w:b/>
                <w:sz w:val="24"/>
                <w:szCs w:val="24"/>
                <w:u w:val="single"/>
                <w:lang w:eastAsia="fr-FR"/>
              </w:rPr>
              <w:t>droit des procédures collectives)</w:t>
            </w:r>
          </w:p>
          <w:p w14:paraId="71DB344A" w14:textId="77777777" w:rsidR="00E76C97" w:rsidRPr="00496EE6" w:rsidRDefault="00E76C97" w:rsidP="00B317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fr-FR"/>
              </w:rPr>
            </w:pPr>
          </w:p>
          <w:p w14:paraId="0171E356" w14:textId="77777777" w:rsidR="003F05EF" w:rsidRPr="00496EE6" w:rsidRDefault="003F05EF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fr-FR"/>
              </w:rPr>
            </w:pPr>
            <w:r w:rsidRPr="00496EE6">
              <w:rPr>
                <w:rFonts w:cs="Calibri"/>
                <w:b/>
                <w:bCs/>
                <w:sz w:val="24"/>
                <w:szCs w:val="24"/>
                <w:lang w:eastAsia="fr-FR"/>
              </w:rPr>
              <w:t>COMP</w:t>
            </w:r>
            <w:r w:rsidR="00CF129A">
              <w:rPr>
                <w:rFonts w:cs="Calibri"/>
                <w:b/>
                <w:bCs/>
                <w:sz w:val="24"/>
                <w:szCs w:val="24"/>
                <w:lang w:eastAsia="fr-FR"/>
              </w:rPr>
              <w:t>É</w:t>
            </w:r>
            <w:r w:rsidRPr="00496EE6">
              <w:rPr>
                <w:rFonts w:cs="Calibri"/>
                <w:b/>
                <w:bCs/>
                <w:sz w:val="24"/>
                <w:szCs w:val="24"/>
                <w:lang w:eastAsia="fr-FR"/>
              </w:rPr>
              <w:t>TENCES :</w:t>
            </w:r>
          </w:p>
          <w:p w14:paraId="092B15D0" w14:textId="77777777" w:rsidR="00606EDC" w:rsidRDefault="003F05EF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 w:rsidRPr="00496EE6">
              <w:rPr>
                <w:rFonts w:cs="Calibri"/>
                <w:sz w:val="24"/>
                <w:szCs w:val="24"/>
                <w:lang w:eastAsia="fr-FR"/>
              </w:rPr>
              <w:t xml:space="preserve">- </w:t>
            </w:r>
            <w:r w:rsidR="00D86547">
              <w:rPr>
                <w:rFonts w:cs="Calibri"/>
                <w:sz w:val="24"/>
                <w:szCs w:val="24"/>
                <w:lang w:eastAsia="fr-FR"/>
              </w:rPr>
              <w:t xml:space="preserve">Avoir une excellente connaissance de l’environnement du droit de la restructuration des entreprises en difficulté (CNAJMJ, cabinets d’avocats spécialisés en </w:t>
            </w:r>
            <w:r w:rsidR="00D86547" w:rsidRPr="00D86547">
              <w:rPr>
                <w:rFonts w:cs="Calibri"/>
                <w:i/>
                <w:iCs/>
                <w:sz w:val="24"/>
                <w:szCs w:val="24"/>
                <w:lang w:eastAsia="fr-FR"/>
              </w:rPr>
              <w:t>restructuring</w:t>
            </w:r>
            <w:r w:rsidR="00D86547">
              <w:rPr>
                <w:rFonts w:cs="Calibri"/>
                <w:sz w:val="24"/>
                <w:szCs w:val="24"/>
                <w:lang w:eastAsia="fr-FR"/>
              </w:rPr>
              <w:t xml:space="preserve">, experts-comptables et tribunaux de commerce) et savoir nouer de bonnes relations avec ces différents interlocuteurs. </w:t>
            </w:r>
          </w:p>
          <w:p w14:paraId="54F08F8C" w14:textId="77777777" w:rsidR="00D86547" w:rsidRDefault="00D86547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Être capable d’enseigner le droit privé à tout type de public (formation initiale et continue)</w:t>
            </w:r>
          </w:p>
          <w:p w14:paraId="2BBFE20A" w14:textId="77777777" w:rsidR="00C658E1" w:rsidRDefault="00D86547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Être capable d’enseigner la méthodologie de la recherche et de la rédaction d’un mémoire</w:t>
            </w:r>
            <w:r w:rsidR="00C658E1">
              <w:rPr>
                <w:rFonts w:cs="Calibri"/>
                <w:sz w:val="24"/>
                <w:szCs w:val="24"/>
                <w:lang w:eastAsia="fr-FR"/>
              </w:rPr>
              <w:t xml:space="preserve"> </w:t>
            </w:r>
          </w:p>
          <w:p w14:paraId="7B4F5246" w14:textId="77777777" w:rsidR="00D86547" w:rsidRDefault="00D86547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Avoir une excellente connaissance de l’environnement universitaire, de</w:t>
            </w:r>
            <w:r w:rsidR="006C2C9A">
              <w:rPr>
                <w:rFonts w:cs="Calibri"/>
                <w:sz w:val="24"/>
                <w:szCs w:val="24"/>
                <w:lang w:eastAsia="fr-FR"/>
              </w:rPr>
              <w:t xml:space="preserve"> l’organigramme</w:t>
            </w:r>
            <w:r>
              <w:rPr>
                <w:rFonts w:cs="Calibri"/>
                <w:sz w:val="24"/>
                <w:szCs w:val="24"/>
                <w:lang w:eastAsia="fr-FR"/>
              </w:rPr>
              <w:t xml:space="preserve"> et des procédures, tant au niveau des relations avec les différentes instances de décision</w:t>
            </w:r>
            <w:r w:rsidR="006C2C9A">
              <w:rPr>
                <w:rFonts w:cs="Calibri"/>
                <w:sz w:val="24"/>
                <w:szCs w:val="24"/>
                <w:lang w:eastAsia="fr-FR"/>
              </w:rPr>
              <w:t>, qu’au niveau de la gestion de scolarité</w:t>
            </w:r>
          </w:p>
          <w:p w14:paraId="2D1453EC" w14:textId="77777777" w:rsidR="00606EDC" w:rsidRDefault="00606EDC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Avoir un bon esprit d’initiative et d’entreprise</w:t>
            </w:r>
          </w:p>
          <w:p w14:paraId="7FE44E63" w14:textId="77777777" w:rsidR="006C2C9A" w:rsidRDefault="006C2C9A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Savoir établir un budget et comprendre les règles comptables de l’Université</w:t>
            </w:r>
          </w:p>
          <w:p w14:paraId="74A01B01" w14:textId="77777777" w:rsidR="006C2C9A" w:rsidRDefault="006C2C9A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Avoir une excellente connaissance du régime de l’alternance et de la formation continue</w:t>
            </w:r>
          </w:p>
          <w:p w14:paraId="3D38FD0F" w14:textId="77777777" w:rsidR="00AF277F" w:rsidRDefault="006C2C9A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Maîtriser les outils numériques de l’Université : Adobe, Microsoft office, plateforme pédagogique et plateformes de gestion administrative diverses (Apogée, eCandidat, Formalink’, etc.)</w:t>
            </w:r>
          </w:p>
          <w:p w14:paraId="4E51007D" w14:textId="77777777" w:rsidR="003F05EF" w:rsidRPr="00496EE6" w:rsidRDefault="009A0049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 T</w:t>
            </w:r>
            <w:r w:rsidR="003F05EF" w:rsidRPr="00496EE6">
              <w:rPr>
                <w:rFonts w:cs="Calibri"/>
                <w:sz w:val="24"/>
                <w:szCs w:val="24"/>
                <w:lang w:eastAsia="fr-FR"/>
              </w:rPr>
              <w:t>ravailler efficacement en équipe</w:t>
            </w:r>
            <w:r w:rsidR="006C2C9A">
              <w:rPr>
                <w:rFonts w:cs="Calibri"/>
                <w:sz w:val="24"/>
                <w:szCs w:val="24"/>
                <w:lang w:eastAsia="fr-FR"/>
              </w:rPr>
              <w:t>, savoir déléguer et</w:t>
            </w:r>
            <w:r w:rsidR="003F05EF" w:rsidRPr="00496EE6">
              <w:rPr>
                <w:rFonts w:cs="Calibri"/>
                <w:sz w:val="24"/>
                <w:szCs w:val="24"/>
                <w:lang w:eastAsia="fr-FR"/>
              </w:rPr>
              <w:t xml:space="preserve"> s’adapter rapidement à un nouve</w:t>
            </w:r>
            <w:r w:rsidR="0095183A" w:rsidRPr="00496EE6">
              <w:rPr>
                <w:rFonts w:cs="Calibri"/>
                <w:sz w:val="24"/>
                <w:szCs w:val="24"/>
                <w:lang w:eastAsia="fr-FR"/>
              </w:rPr>
              <w:t xml:space="preserve">l </w:t>
            </w:r>
            <w:r w:rsidR="003F05EF" w:rsidRPr="00496EE6">
              <w:rPr>
                <w:rFonts w:cs="Calibri"/>
                <w:sz w:val="24"/>
                <w:szCs w:val="24"/>
                <w:lang w:eastAsia="fr-FR"/>
              </w:rPr>
              <w:t>environnement de travail et à des tâches variées.</w:t>
            </w:r>
          </w:p>
          <w:p w14:paraId="148CA5A9" w14:textId="77777777" w:rsidR="003979C8" w:rsidRPr="00496EE6" w:rsidRDefault="006C2C9A" w:rsidP="00B317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  <w:lang w:eastAsia="fr-FR"/>
              </w:rPr>
            </w:pPr>
            <w:r>
              <w:rPr>
                <w:rFonts w:cs="Calibri"/>
                <w:sz w:val="24"/>
                <w:szCs w:val="24"/>
                <w:lang w:eastAsia="fr-FR"/>
              </w:rPr>
              <w:t>-</w:t>
            </w:r>
            <w:r w:rsidR="00843BAF">
              <w:rPr>
                <w:rFonts w:cs="Calibri"/>
                <w:sz w:val="24"/>
                <w:szCs w:val="24"/>
                <w:lang w:eastAsia="fr-FR"/>
              </w:rPr>
              <w:t xml:space="preserve"> </w:t>
            </w:r>
            <w:r>
              <w:rPr>
                <w:rFonts w:cs="Calibri"/>
                <w:sz w:val="24"/>
                <w:szCs w:val="24"/>
                <w:lang w:eastAsia="fr-FR"/>
              </w:rPr>
              <w:t>C</w:t>
            </w:r>
            <w:r w:rsidR="00843BAF">
              <w:rPr>
                <w:rFonts w:cs="Calibri"/>
                <w:sz w:val="24"/>
                <w:szCs w:val="24"/>
                <w:lang w:eastAsia="fr-FR"/>
              </w:rPr>
              <w:t xml:space="preserve">apacité à </w:t>
            </w:r>
            <w:r w:rsidR="003F05EF" w:rsidRPr="00496EE6">
              <w:rPr>
                <w:rFonts w:cs="Calibri"/>
                <w:sz w:val="24"/>
                <w:szCs w:val="24"/>
                <w:lang w:eastAsia="fr-FR"/>
              </w:rPr>
              <w:t>s’adapter rapidement à</w:t>
            </w:r>
            <w:r w:rsidR="00843BAF">
              <w:rPr>
                <w:rFonts w:cs="Calibri"/>
                <w:sz w:val="24"/>
                <w:szCs w:val="24"/>
                <w:lang w:eastAsia="fr-FR"/>
              </w:rPr>
              <w:t xml:space="preserve"> </w:t>
            </w:r>
            <w:r w:rsidR="003F05EF" w:rsidRPr="00496EE6">
              <w:rPr>
                <w:rFonts w:cs="Calibri"/>
                <w:sz w:val="24"/>
                <w:szCs w:val="24"/>
                <w:lang w:eastAsia="fr-FR"/>
              </w:rPr>
              <w:t>de nouveaux outils</w:t>
            </w:r>
            <w:r w:rsidR="00843BAF">
              <w:rPr>
                <w:rFonts w:cs="Calibri"/>
                <w:sz w:val="24"/>
                <w:szCs w:val="24"/>
                <w:lang w:eastAsia="fr-FR"/>
              </w:rPr>
              <w:t xml:space="preserve">. </w:t>
            </w:r>
          </w:p>
        </w:tc>
      </w:tr>
      <w:tr w:rsidR="003979C8" w:rsidRPr="003979C8" w14:paraId="7629210A" w14:textId="77777777" w:rsidTr="00B4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62922E" w14:textId="77777777" w:rsidR="003979C8" w:rsidRDefault="003979C8" w:rsidP="003979C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b/>
                <w:bCs/>
                <w:color w:val="FF0000"/>
                <w:u w:val="single"/>
              </w:rPr>
              <w:lastRenderedPageBreak/>
              <w:t>Conditions d’embauche</w:t>
            </w:r>
            <w:r w:rsidRPr="003979C8">
              <w:rPr>
                <w:rFonts w:ascii="Arial" w:hAnsi="Arial" w:cs="Arial"/>
                <w:b/>
                <w:bCs/>
                <w:color w:val="FF0000"/>
              </w:rPr>
              <w:t> </w:t>
            </w:r>
            <w:r w:rsidRPr="003979C8">
              <w:rPr>
                <w:rFonts w:ascii="Arial" w:hAnsi="Arial" w:cs="Arial"/>
                <w:color w:val="FF0000"/>
              </w:rPr>
              <w:t xml:space="preserve">: </w:t>
            </w:r>
          </w:p>
          <w:p w14:paraId="678EC241" w14:textId="77777777" w:rsidR="00D86547" w:rsidRPr="003979C8" w:rsidRDefault="00D86547" w:rsidP="00D86547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Être titulaire d’un Master 2 en droit.</w:t>
            </w:r>
          </w:p>
          <w:p w14:paraId="6ABF25C1" w14:textId="77777777" w:rsidR="003979C8" w:rsidRPr="003979C8" w:rsidRDefault="00E64667" w:rsidP="003979C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En o</w:t>
            </w:r>
            <w:r w:rsidR="006C2C9A">
              <w:rPr>
                <w:rFonts w:ascii="Arial" w:hAnsi="Arial" w:cs="Arial"/>
                <w:color w:val="FF0000"/>
              </w:rPr>
              <w:t xml:space="preserve">utre, </w:t>
            </w:r>
            <w:r w:rsidR="008A5A8B" w:rsidRPr="008A5A8B">
              <w:rPr>
                <w:rFonts w:ascii="Arial" w:hAnsi="Arial" w:cs="Arial"/>
                <w:color w:val="FF0000"/>
              </w:rPr>
              <w:t xml:space="preserve">le candidat devra remplir </w:t>
            </w:r>
            <w:r w:rsidR="003979C8" w:rsidRPr="003979C8">
              <w:rPr>
                <w:rFonts w:ascii="Arial" w:hAnsi="Arial" w:cs="Arial"/>
                <w:color w:val="FF0000"/>
              </w:rPr>
              <w:t>l’</w:t>
            </w:r>
            <w:r w:rsidR="003979C8" w:rsidRPr="003979C8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une des trois </w:t>
            </w:r>
            <w:r w:rsidR="003979C8" w:rsidRPr="003979C8">
              <w:rPr>
                <w:rFonts w:ascii="Arial" w:hAnsi="Arial" w:cs="Arial"/>
                <w:color w:val="FF0000"/>
              </w:rPr>
              <w:t xml:space="preserve">conditions suivantes : </w:t>
            </w:r>
          </w:p>
          <w:p w14:paraId="42185DC4" w14:textId="77777777" w:rsidR="003979C8" w:rsidRPr="003979C8" w:rsidRDefault="003979C8" w:rsidP="003979C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 xml:space="preserve">- Ou bien être inscrit en thèse de doctorat à l’Université Paris 1 et ne bénéficier d’aucun type de financement à ce titre ; </w:t>
            </w:r>
          </w:p>
          <w:p w14:paraId="3BD1FD52" w14:textId="77777777" w:rsidR="003979C8" w:rsidRPr="003979C8" w:rsidRDefault="003979C8" w:rsidP="003979C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>- Ou bien être élève avocat, actuellement inscrit dans un centre de formation à la profession d’avocat.</w:t>
            </w:r>
          </w:p>
          <w:p w14:paraId="01F019D2" w14:textId="77777777" w:rsidR="003979C8" w:rsidRPr="003979C8" w:rsidRDefault="003979C8" w:rsidP="003979C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 xml:space="preserve">- </w:t>
            </w:r>
            <w:r w:rsidRPr="00E87D1B">
              <w:rPr>
                <w:rFonts w:ascii="Arial" w:hAnsi="Arial" w:cs="Arial"/>
                <w:color w:val="FF0000"/>
              </w:rPr>
              <w:t>Ou bien exercer une activité d’enseignement</w:t>
            </w:r>
            <w:r w:rsidR="008A5A8B" w:rsidRPr="00E87D1B">
              <w:rPr>
                <w:rFonts w:ascii="Arial" w:hAnsi="Arial" w:cs="Arial"/>
                <w:color w:val="FF0000"/>
              </w:rPr>
              <w:t xml:space="preserve"> ou</w:t>
            </w:r>
            <w:r w:rsidRPr="00E87D1B">
              <w:rPr>
                <w:rFonts w:ascii="Arial" w:hAnsi="Arial" w:cs="Arial"/>
                <w:color w:val="FF0000"/>
              </w:rPr>
              <w:t xml:space="preserve"> d</w:t>
            </w:r>
            <w:r w:rsidR="008A5A8B" w:rsidRPr="00E87D1B">
              <w:rPr>
                <w:rFonts w:ascii="Arial" w:hAnsi="Arial" w:cs="Arial"/>
                <w:color w:val="FF0000"/>
              </w:rPr>
              <w:t>’ingénierie pédagogique (conception et gestion administrative de diplômes)</w:t>
            </w:r>
            <w:r w:rsidR="00D052B7">
              <w:rPr>
                <w:rFonts w:ascii="Arial" w:hAnsi="Arial" w:cs="Arial"/>
                <w:color w:val="FF0000"/>
              </w:rPr>
              <w:t xml:space="preserve"> avec une expérience </w:t>
            </w:r>
            <w:r w:rsidR="00714691">
              <w:rPr>
                <w:rFonts w:ascii="Arial" w:hAnsi="Arial" w:cs="Arial"/>
                <w:color w:val="FF0000"/>
              </w:rPr>
              <w:t>significative de l</w:t>
            </w:r>
            <w:r w:rsidR="00714691" w:rsidRPr="00E87D1B">
              <w:rPr>
                <w:rFonts w:ascii="Arial" w:hAnsi="Arial" w:cs="Arial"/>
                <w:color w:val="FF0000"/>
              </w:rPr>
              <w:t>’ingénierie pédagogique</w:t>
            </w:r>
            <w:r w:rsidR="00D052B7">
              <w:rPr>
                <w:rFonts w:ascii="Arial" w:hAnsi="Arial" w:cs="Arial"/>
                <w:color w:val="FF0000"/>
              </w:rPr>
              <w:t>.</w:t>
            </w:r>
          </w:p>
          <w:p w14:paraId="731B3765" w14:textId="77777777" w:rsidR="003979C8" w:rsidRPr="003979C8" w:rsidRDefault="003979C8" w:rsidP="003979C8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3979C8" w:rsidRPr="003979C8" w14:paraId="6D0DBDE4" w14:textId="77777777" w:rsidTr="00B4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</w:trPr>
        <w:tc>
          <w:tcPr>
            <w:tcW w:w="10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57D70" w14:textId="77777777" w:rsidR="003979C8" w:rsidRPr="003979C8" w:rsidRDefault="003979C8" w:rsidP="003979C8">
            <w:pPr>
              <w:spacing w:after="0" w:line="240" w:lineRule="auto"/>
              <w:jc w:val="both"/>
              <w:rPr>
                <w:rStyle w:val="hgkelc"/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b/>
                <w:color w:val="FF0000"/>
                <w:u w:val="single"/>
              </w:rPr>
              <w:t>Rémunération</w:t>
            </w:r>
          </w:p>
          <w:p w14:paraId="5909EE74" w14:textId="77777777" w:rsidR="003979C8" w:rsidRPr="003979C8" w:rsidRDefault="003979C8" w:rsidP="00B42175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3979C8" w:rsidRPr="003979C8" w14:paraId="4B3918DC" w14:textId="77777777" w:rsidTr="00B421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2761"/>
        </w:trPr>
        <w:tc>
          <w:tcPr>
            <w:tcW w:w="10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AC74B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b/>
                <w:color w:val="FF0000"/>
              </w:rPr>
              <w:lastRenderedPageBreak/>
              <w:t xml:space="preserve">Dossier de candidature (à adresser à </w:t>
            </w:r>
            <w:r w:rsidR="006C2C9A">
              <w:rPr>
                <w:rFonts w:ascii="Arial" w:hAnsi="Arial" w:cs="Arial"/>
                <w:b/>
                <w:color w:val="FF0000"/>
              </w:rPr>
              <w:t>M Hakim Bouchikeir</w:t>
            </w:r>
            <w:r w:rsidRPr="003979C8">
              <w:rPr>
                <w:rFonts w:ascii="Arial" w:hAnsi="Arial" w:cs="Arial"/>
                <w:b/>
                <w:color w:val="FF0000"/>
              </w:rPr>
              <w:t>)</w:t>
            </w:r>
            <w:r w:rsidRPr="003979C8">
              <w:rPr>
                <w:rFonts w:ascii="Arial" w:hAnsi="Arial" w:cs="Arial"/>
                <w:color w:val="FF0000"/>
              </w:rPr>
              <w:t xml:space="preserve"> : </w:t>
            </w:r>
          </w:p>
          <w:p w14:paraId="40FC5EA4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</w:p>
          <w:p w14:paraId="2CC77D9D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 xml:space="preserve">1. </w:t>
            </w:r>
            <w:bookmarkStart w:id="1" w:name="_Hlk104884459"/>
            <w:r w:rsidRPr="003979C8">
              <w:rPr>
                <w:rFonts w:ascii="Arial" w:hAnsi="Arial" w:cs="Arial"/>
                <w:color w:val="FF0000"/>
              </w:rPr>
              <w:t>Curriculum Vitæ ;</w:t>
            </w:r>
          </w:p>
          <w:p w14:paraId="7C2AC72C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>2. Lettre de motivation adressée à Madame la présidente du Comité de sélection</w:t>
            </w:r>
            <w:bookmarkEnd w:id="1"/>
          </w:p>
          <w:p w14:paraId="1027ECB5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>4. Copie d'une pièce d'identité en cours de validité ;</w:t>
            </w:r>
          </w:p>
          <w:p w14:paraId="66B089D5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>5. Attestation d'inscription en doctorat à l’Université Paris 1, ou attestation d’inscription dans un centre de formation à la profession d’avocat, ou attestation activité d’enseignement</w:t>
            </w:r>
            <w:r w:rsidR="008A5A8B">
              <w:rPr>
                <w:rFonts w:ascii="Arial" w:hAnsi="Arial" w:cs="Arial"/>
                <w:color w:val="FF0000"/>
              </w:rPr>
              <w:t xml:space="preserve"> </w:t>
            </w:r>
            <w:r w:rsidR="008A5A8B" w:rsidRPr="00E87D1B">
              <w:rPr>
                <w:rFonts w:ascii="Arial" w:hAnsi="Arial" w:cs="Arial"/>
                <w:color w:val="FF0000"/>
              </w:rPr>
              <w:t>ou d’ingénierie pédagogique</w:t>
            </w:r>
          </w:p>
          <w:p w14:paraId="1DA4A56B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</w:rPr>
            </w:pPr>
            <w:r w:rsidRPr="003979C8">
              <w:rPr>
                <w:rFonts w:ascii="Arial" w:hAnsi="Arial" w:cs="Arial"/>
                <w:color w:val="FF0000"/>
              </w:rPr>
              <w:t>6. Carte vitale ou attestation d’affiliation à la Sécurité sociale</w:t>
            </w:r>
          </w:p>
          <w:p w14:paraId="506AC912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  <w:r w:rsidRPr="003979C8">
              <w:rPr>
                <w:rFonts w:ascii="Arial" w:hAnsi="Arial" w:cs="Arial"/>
                <w:color w:val="FF0000"/>
              </w:rPr>
              <w:t>7. Relevé d’identité bancaire.</w:t>
            </w:r>
          </w:p>
          <w:p w14:paraId="2BB09128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u w:val="single"/>
              </w:rPr>
            </w:pPr>
          </w:p>
          <w:p w14:paraId="2FBD684D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979C8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Personne à contacter </w:t>
            </w:r>
            <w:r w:rsidRPr="003979C8">
              <w:rPr>
                <w:rFonts w:ascii="Arial" w:hAnsi="Arial" w:cs="Arial"/>
                <w:color w:val="FF0000"/>
                <w:sz w:val="28"/>
                <w:szCs w:val="28"/>
              </w:rPr>
              <w:t>:</w:t>
            </w:r>
          </w:p>
          <w:p w14:paraId="1057115D" w14:textId="77777777" w:rsidR="003979C8" w:rsidRPr="003979C8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741E9E2" w14:textId="77777777" w:rsidR="003979C8" w:rsidRPr="00D052B7" w:rsidRDefault="006C2C9A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M Hakim Bouchikeir</w:t>
            </w:r>
          </w:p>
          <w:p w14:paraId="36B67FC8" w14:textId="77777777" w:rsidR="003979C8" w:rsidRPr="00D052B7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 xml:space="preserve">Responsable </w:t>
            </w:r>
            <w:r w:rsidR="006C2C9A" w:rsidRPr="00D052B7">
              <w:rPr>
                <w:rFonts w:ascii="Arial" w:hAnsi="Arial" w:cs="Arial"/>
                <w:color w:val="FF0000"/>
                <w:sz w:val="24"/>
                <w:szCs w:val="24"/>
              </w:rPr>
              <w:t>administratif</w:t>
            </w: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 xml:space="preserve"> de l’Institut d’Études Judiciaires de la Sorbonne (EDS)</w:t>
            </w:r>
          </w:p>
          <w:p w14:paraId="1250FF17" w14:textId="77777777" w:rsidR="003979C8" w:rsidRPr="00D052B7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8" w:history="1">
              <w:r w:rsidRPr="00D052B7">
                <w:rPr>
                  <w:rStyle w:val="Lienhypertexte"/>
                  <w:rFonts w:ascii="Arial" w:hAnsi="Arial" w:cs="Arial"/>
                  <w:color w:val="FF0000"/>
                  <w:sz w:val="24"/>
                  <w:szCs w:val="24"/>
                </w:rPr>
                <w:t>raiej@univ-paris1.fr</w:t>
              </w:r>
            </w:hyperlink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6C2C9A" w:rsidRPr="00D052B7">
              <w:rPr>
                <w:rFonts w:ascii="Arial" w:hAnsi="Arial" w:cs="Arial"/>
                <w:color w:val="FF0000"/>
                <w:sz w:val="24"/>
                <w:szCs w:val="24"/>
              </w:rPr>
              <w:t>–</w:t>
            </w: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hyperlink r:id="rId9" w:history="1">
              <w:r w:rsidR="006C2C9A" w:rsidRPr="00D052B7">
                <w:rPr>
                  <w:rStyle w:val="Lienhypertexte"/>
                  <w:rFonts w:ascii="Arial" w:hAnsi="Arial" w:cs="Arial"/>
                  <w:sz w:val="24"/>
                  <w:szCs w:val="24"/>
                </w:rPr>
                <w:t>Hakim.Bouchikeir@univ-paris1.fr</w:t>
              </w:r>
            </w:hyperlink>
          </w:p>
          <w:p w14:paraId="4856CA41" w14:textId="77777777" w:rsidR="003979C8" w:rsidRPr="00D052B7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Centre Broca</w:t>
            </w:r>
          </w:p>
          <w:p w14:paraId="449A0298" w14:textId="77777777" w:rsidR="003979C8" w:rsidRPr="00D052B7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Bâtiment A, 6e étage</w:t>
            </w:r>
          </w:p>
          <w:p w14:paraId="63625908" w14:textId="77777777" w:rsidR="003979C8" w:rsidRPr="00D052B7" w:rsidRDefault="003979C8" w:rsidP="003979C8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21, rue Broca</w:t>
            </w:r>
          </w:p>
          <w:p w14:paraId="4EFE839D" w14:textId="77777777" w:rsidR="00D052B7" w:rsidRPr="00D052B7" w:rsidRDefault="003979C8" w:rsidP="003979C8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75005 Paris</w:t>
            </w:r>
          </w:p>
          <w:p w14:paraId="150BF39B" w14:textId="77777777" w:rsidR="00D052B7" w:rsidRPr="00D052B7" w:rsidRDefault="00D052B7" w:rsidP="003979C8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68D456C" w14:textId="77777777" w:rsidR="00D052B7" w:rsidRPr="00D052B7" w:rsidRDefault="00D052B7" w:rsidP="003979C8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 xml:space="preserve">Mme Florence Robin-Sabil </w:t>
            </w:r>
          </w:p>
          <w:p w14:paraId="74ACF7FA" w14:textId="77777777" w:rsidR="00D052B7" w:rsidRPr="00D052B7" w:rsidRDefault="00D052B7" w:rsidP="003979C8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Directrice des ressources humaines de l’Université de Paris 1</w:t>
            </w:r>
          </w:p>
          <w:p w14:paraId="2AB2376B" w14:textId="77777777" w:rsidR="00D052B7" w:rsidRPr="00D052B7" w:rsidRDefault="00D052B7" w:rsidP="003979C8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10" w:history="1">
              <w:r w:rsidRPr="00D052B7">
                <w:rPr>
                  <w:rStyle w:val="Lienhypertexte"/>
                  <w:rFonts w:ascii="Arial" w:hAnsi="Arial" w:cs="Arial"/>
                  <w:sz w:val="24"/>
                  <w:szCs w:val="24"/>
                </w:rPr>
                <w:t>Florence.Robin-Sabil@univ-paris1.fr</w:t>
              </w:r>
            </w:hyperlink>
          </w:p>
          <w:p w14:paraId="1204D89E" w14:textId="77777777" w:rsidR="00D052B7" w:rsidRPr="00D052B7" w:rsidRDefault="00D052B7" w:rsidP="00D052B7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Centre Panthéon</w:t>
            </w:r>
          </w:p>
          <w:p w14:paraId="5EF6E995" w14:textId="77777777" w:rsidR="00D052B7" w:rsidRPr="00D052B7" w:rsidRDefault="00D052B7" w:rsidP="00D052B7">
            <w:pPr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12, place du Panthéon</w:t>
            </w:r>
          </w:p>
          <w:p w14:paraId="416BDE35" w14:textId="77777777" w:rsidR="00D052B7" w:rsidRPr="00D052B7" w:rsidRDefault="00D052B7" w:rsidP="00D052B7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52B7">
              <w:rPr>
                <w:rFonts w:ascii="Arial" w:hAnsi="Arial" w:cs="Arial"/>
                <w:color w:val="FF0000"/>
                <w:sz w:val="24"/>
                <w:szCs w:val="24"/>
              </w:rPr>
              <w:t>75005 Paris</w:t>
            </w:r>
          </w:p>
          <w:p w14:paraId="6238725D" w14:textId="77777777" w:rsidR="00D052B7" w:rsidRPr="00D052B7" w:rsidRDefault="00D052B7" w:rsidP="003979C8">
            <w:pPr>
              <w:tabs>
                <w:tab w:val="left" w:pos="9495"/>
              </w:tabs>
              <w:spacing w:after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A885532" w14:textId="77777777" w:rsidR="003979C8" w:rsidRPr="003979C8" w:rsidRDefault="003979C8" w:rsidP="003979C8">
            <w:pPr>
              <w:tabs>
                <w:tab w:val="left" w:pos="9495"/>
              </w:tabs>
              <w:spacing w:after="0"/>
              <w:jc w:val="both"/>
              <w:rPr>
                <w:color w:val="FF0000"/>
              </w:rPr>
            </w:pPr>
            <w:r w:rsidRPr="003979C8">
              <w:rPr>
                <w:color w:val="FF0000"/>
              </w:rPr>
              <w:tab/>
            </w:r>
          </w:p>
        </w:tc>
      </w:tr>
    </w:tbl>
    <w:p w14:paraId="687B8484" w14:textId="77777777" w:rsidR="003979C8" w:rsidRPr="00B455AC" w:rsidRDefault="003979C8" w:rsidP="003979C8">
      <w:pPr>
        <w:spacing w:after="0" w:line="240" w:lineRule="auto"/>
        <w:contextualSpacing/>
        <w:rPr>
          <w:rFonts w:ascii="Times New Roman" w:hAnsi="Times New Roman"/>
        </w:rPr>
      </w:pPr>
    </w:p>
    <w:sectPr w:rsidR="003979C8" w:rsidRPr="00B455AC" w:rsidSect="00647D54">
      <w:headerReference w:type="default" r:id="rId11"/>
      <w:footerReference w:type="default" r:id="rId12"/>
      <w:pgSz w:w="11907" w:h="16840" w:code="9"/>
      <w:pgMar w:top="0" w:right="1304" w:bottom="284" w:left="130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09AB7" w14:textId="77777777" w:rsidR="000B5B86" w:rsidRDefault="000B5B86">
      <w:pPr>
        <w:spacing w:after="0" w:line="240" w:lineRule="auto"/>
      </w:pPr>
      <w:r>
        <w:separator/>
      </w:r>
    </w:p>
  </w:endnote>
  <w:endnote w:type="continuationSeparator" w:id="0">
    <w:p w14:paraId="25E9FC25" w14:textId="77777777" w:rsidR="000B5B86" w:rsidRDefault="000B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58A0" w14:textId="77777777" w:rsidR="001D481A" w:rsidRDefault="001D481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6115" w14:textId="77777777" w:rsidR="000B5B86" w:rsidRDefault="000B5B86">
      <w:pPr>
        <w:spacing w:after="0" w:line="240" w:lineRule="auto"/>
      </w:pPr>
      <w:r>
        <w:separator/>
      </w:r>
    </w:p>
  </w:footnote>
  <w:footnote w:type="continuationSeparator" w:id="0">
    <w:p w14:paraId="4C14D7A4" w14:textId="77777777" w:rsidR="000B5B86" w:rsidRDefault="000B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0DB94" w14:textId="77777777" w:rsidR="001D481A" w:rsidRDefault="001D481A">
    <w:pPr>
      <w:pStyle w:val="En-tte"/>
    </w:pPr>
  </w:p>
  <w:p w14:paraId="3B04A238" w14:textId="77777777" w:rsidR="001D481A" w:rsidRDefault="001D481A">
    <w:pPr>
      <w:pStyle w:val="En-tte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E1B74"/>
    <w:multiLevelType w:val="hybridMultilevel"/>
    <w:tmpl w:val="CF047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EF2"/>
    <w:multiLevelType w:val="hybridMultilevel"/>
    <w:tmpl w:val="4A6EAADC"/>
    <w:lvl w:ilvl="0" w:tplc="A8F69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0638"/>
    <w:multiLevelType w:val="hybridMultilevel"/>
    <w:tmpl w:val="61906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34D04"/>
    <w:multiLevelType w:val="hybridMultilevel"/>
    <w:tmpl w:val="0DF6DA22"/>
    <w:lvl w:ilvl="0" w:tplc="40E6130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43CD"/>
    <w:multiLevelType w:val="hybridMultilevel"/>
    <w:tmpl w:val="4432A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1F24"/>
    <w:multiLevelType w:val="hybridMultilevel"/>
    <w:tmpl w:val="57F00A44"/>
    <w:lvl w:ilvl="0" w:tplc="D1623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C1FD3"/>
    <w:multiLevelType w:val="hybridMultilevel"/>
    <w:tmpl w:val="11F2CF16"/>
    <w:lvl w:ilvl="0" w:tplc="B992A5A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FE1"/>
    <w:multiLevelType w:val="hybridMultilevel"/>
    <w:tmpl w:val="86BEC696"/>
    <w:lvl w:ilvl="0" w:tplc="AEF22D98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D5FE0"/>
    <w:multiLevelType w:val="hybridMultilevel"/>
    <w:tmpl w:val="5AC4A4D0"/>
    <w:lvl w:ilvl="0" w:tplc="4DFADFC6">
      <w:numFmt w:val="bullet"/>
      <w:lvlText w:val="-"/>
      <w:lvlJc w:val="left"/>
      <w:pPr>
        <w:ind w:left="714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57D4A"/>
    <w:multiLevelType w:val="hybridMultilevel"/>
    <w:tmpl w:val="C630A304"/>
    <w:lvl w:ilvl="0" w:tplc="A13C03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73B3"/>
    <w:multiLevelType w:val="hybridMultilevel"/>
    <w:tmpl w:val="3DEA9BB2"/>
    <w:lvl w:ilvl="0" w:tplc="A13C03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21EA8"/>
    <w:multiLevelType w:val="hybridMultilevel"/>
    <w:tmpl w:val="C0947EA0"/>
    <w:lvl w:ilvl="0" w:tplc="A78C2A8C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E7A6A"/>
    <w:multiLevelType w:val="hybridMultilevel"/>
    <w:tmpl w:val="5FBC068C"/>
    <w:lvl w:ilvl="0" w:tplc="ACE67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166CE"/>
    <w:multiLevelType w:val="hybridMultilevel"/>
    <w:tmpl w:val="924CE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22D79"/>
    <w:multiLevelType w:val="hybridMultilevel"/>
    <w:tmpl w:val="3224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E7801"/>
    <w:multiLevelType w:val="hybridMultilevel"/>
    <w:tmpl w:val="40E270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471AE"/>
    <w:multiLevelType w:val="hybridMultilevel"/>
    <w:tmpl w:val="D1C88370"/>
    <w:lvl w:ilvl="0" w:tplc="7F3EEDD0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A5E62"/>
    <w:multiLevelType w:val="hybridMultilevel"/>
    <w:tmpl w:val="4BB23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86ACF"/>
    <w:multiLevelType w:val="hybridMultilevel"/>
    <w:tmpl w:val="392CA498"/>
    <w:lvl w:ilvl="0" w:tplc="EE0AA1A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50084">
    <w:abstractNumId w:val="1"/>
  </w:num>
  <w:num w:numId="2" w16cid:durableId="767386079">
    <w:abstractNumId w:val="12"/>
  </w:num>
  <w:num w:numId="3" w16cid:durableId="1896546514">
    <w:abstractNumId w:val="8"/>
  </w:num>
  <w:num w:numId="4" w16cid:durableId="573900342">
    <w:abstractNumId w:val="7"/>
  </w:num>
  <w:num w:numId="5" w16cid:durableId="1968772549">
    <w:abstractNumId w:val="15"/>
  </w:num>
  <w:num w:numId="6" w16cid:durableId="1849908870">
    <w:abstractNumId w:val="11"/>
  </w:num>
  <w:num w:numId="7" w16cid:durableId="218790841">
    <w:abstractNumId w:val="6"/>
  </w:num>
  <w:num w:numId="8" w16cid:durableId="983704974">
    <w:abstractNumId w:val="18"/>
  </w:num>
  <w:num w:numId="9" w16cid:durableId="1673215696">
    <w:abstractNumId w:val="16"/>
  </w:num>
  <w:num w:numId="10" w16cid:durableId="1697343596">
    <w:abstractNumId w:val="3"/>
  </w:num>
  <w:num w:numId="11" w16cid:durableId="140583548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41239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629613">
    <w:abstractNumId w:val="13"/>
  </w:num>
  <w:num w:numId="14" w16cid:durableId="1236205827">
    <w:abstractNumId w:val="10"/>
  </w:num>
  <w:num w:numId="15" w16cid:durableId="2125879280">
    <w:abstractNumId w:val="0"/>
  </w:num>
  <w:num w:numId="16" w16cid:durableId="1760982751">
    <w:abstractNumId w:val="5"/>
  </w:num>
  <w:num w:numId="17" w16cid:durableId="284581674">
    <w:abstractNumId w:val="2"/>
  </w:num>
  <w:num w:numId="18" w16cid:durableId="584339283">
    <w:abstractNumId w:val="17"/>
  </w:num>
  <w:num w:numId="19" w16cid:durableId="1687294973">
    <w:abstractNumId w:val="9"/>
  </w:num>
  <w:num w:numId="20" w16cid:durableId="1944458070">
    <w:abstractNumId w:val="14"/>
  </w:num>
  <w:num w:numId="21" w16cid:durableId="142702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1C"/>
    <w:rsid w:val="00001D17"/>
    <w:rsid w:val="00004FCC"/>
    <w:rsid w:val="00025C54"/>
    <w:rsid w:val="00037BF8"/>
    <w:rsid w:val="00045DFD"/>
    <w:rsid w:val="00050026"/>
    <w:rsid w:val="0007630D"/>
    <w:rsid w:val="000B5B86"/>
    <w:rsid w:val="00131D62"/>
    <w:rsid w:val="00141105"/>
    <w:rsid w:val="00143E3A"/>
    <w:rsid w:val="001D481A"/>
    <w:rsid w:val="001E1B92"/>
    <w:rsid w:val="001F11B2"/>
    <w:rsid w:val="00201C3D"/>
    <w:rsid w:val="00225EBA"/>
    <w:rsid w:val="002C217F"/>
    <w:rsid w:val="003338F5"/>
    <w:rsid w:val="0037017F"/>
    <w:rsid w:val="003979C8"/>
    <w:rsid w:val="003F05EF"/>
    <w:rsid w:val="004223D8"/>
    <w:rsid w:val="00455D6E"/>
    <w:rsid w:val="004600E6"/>
    <w:rsid w:val="00464E1C"/>
    <w:rsid w:val="00493BA9"/>
    <w:rsid w:val="00496EE6"/>
    <w:rsid w:val="004B1D3A"/>
    <w:rsid w:val="004E33BB"/>
    <w:rsid w:val="004E3878"/>
    <w:rsid w:val="005153C7"/>
    <w:rsid w:val="00515482"/>
    <w:rsid w:val="005162B2"/>
    <w:rsid w:val="0054039F"/>
    <w:rsid w:val="00560B23"/>
    <w:rsid w:val="005677E7"/>
    <w:rsid w:val="005954AA"/>
    <w:rsid w:val="005B7077"/>
    <w:rsid w:val="005D3972"/>
    <w:rsid w:val="005E2E7B"/>
    <w:rsid w:val="005E455C"/>
    <w:rsid w:val="005E5A27"/>
    <w:rsid w:val="005F70C9"/>
    <w:rsid w:val="00606EDC"/>
    <w:rsid w:val="0063160E"/>
    <w:rsid w:val="00647D54"/>
    <w:rsid w:val="0066630B"/>
    <w:rsid w:val="00692F77"/>
    <w:rsid w:val="006C0E96"/>
    <w:rsid w:val="006C2C9A"/>
    <w:rsid w:val="006F445A"/>
    <w:rsid w:val="006F7256"/>
    <w:rsid w:val="00714691"/>
    <w:rsid w:val="0071696C"/>
    <w:rsid w:val="007353BD"/>
    <w:rsid w:val="00741742"/>
    <w:rsid w:val="00750D0D"/>
    <w:rsid w:val="007E3D98"/>
    <w:rsid w:val="00813C7F"/>
    <w:rsid w:val="00840980"/>
    <w:rsid w:val="00843BAF"/>
    <w:rsid w:val="0085409C"/>
    <w:rsid w:val="008743F8"/>
    <w:rsid w:val="00897A6B"/>
    <w:rsid w:val="008A5A8B"/>
    <w:rsid w:val="008D58DF"/>
    <w:rsid w:val="009137AB"/>
    <w:rsid w:val="00940BB1"/>
    <w:rsid w:val="0095183A"/>
    <w:rsid w:val="00982D04"/>
    <w:rsid w:val="00991186"/>
    <w:rsid w:val="009A0049"/>
    <w:rsid w:val="00A013DF"/>
    <w:rsid w:val="00A50331"/>
    <w:rsid w:val="00A76B89"/>
    <w:rsid w:val="00AA75F6"/>
    <w:rsid w:val="00AC033E"/>
    <w:rsid w:val="00AC3906"/>
    <w:rsid w:val="00AF277F"/>
    <w:rsid w:val="00B13384"/>
    <w:rsid w:val="00B317BD"/>
    <w:rsid w:val="00B42175"/>
    <w:rsid w:val="00B455AC"/>
    <w:rsid w:val="00B65223"/>
    <w:rsid w:val="00B86103"/>
    <w:rsid w:val="00B86811"/>
    <w:rsid w:val="00B91229"/>
    <w:rsid w:val="00B9361A"/>
    <w:rsid w:val="00BA3D79"/>
    <w:rsid w:val="00BA4CF3"/>
    <w:rsid w:val="00BD127D"/>
    <w:rsid w:val="00C10D97"/>
    <w:rsid w:val="00C658E1"/>
    <w:rsid w:val="00CA6985"/>
    <w:rsid w:val="00CE603C"/>
    <w:rsid w:val="00CF129A"/>
    <w:rsid w:val="00D052B7"/>
    <w:rsid w:val="00D128EB"/>
    <w:rsid w:val="00D2443E"/>
    <w:rsid w:val="00D40AB8"/>
    <w:rsid w:val="00D62339"/>
    <w:rsid w:val="00D66632"/>
    <w:rsid w:val="00D86547"/>
    <w:rsid w:val="00DC5EBC"/>
    <w:rsid w:val="00DF1CEA"/>
    <w:rsid w:val="00E17CA5"/>
    <w:rsid w:val="00E64667"/>
    <w:rsid w:val="00E76C97"/>
    <w:rsid w:val="00E84686"/>
    <w:rsid w:val="00E87D1B"/>
    <w:rsid w:val="00E92807"/>
    <w:rsid w:val="00E97B94"/>
    <w:rsid w:val="00F23304"/>
    <w:rsid w:val="00F44ED1"/>
    <w:rsid w:val="00F71C5E"/>
    <w:rsid w:val="00F947B9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1670"/>
  <w15:chartTrackingRefBased/>
  <w15:docId w15:val="{0EABFD51-7F3A-4A16-A88C-1F4F850C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64E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/>
      <w:kern w:val="16"/>
      <w:sz w:val="24"/>
      <w:szCs w:val="20"/>
      <w:lang w:eastAsia="fr-FR"/>
    </w:rPr>
  </w:style>
  <w:style w:type="character" w:customStyle="1" w:styleId="En-tteCar">
    <w:name w:val="En-tête Car"/>
    <w:link w:val="En-tte"/>
    <w:rsid w:val="00464E1C"/>
    <w:rPr>
      <w:rFonts w:ascii="CG Times (W1)" w:eastAsia="Times New Roman" w:hAnsi="CG Times (W1)"/>
      <w:kern w:val="16"/>
      <w:sz w:val="24"/>
    </w:rPr>
  </w:style>
  <w:style w:type="paragraph" w:styleId="Pieddepage">
    <w:name w:val="footer"/>
    <w:basedOn w:val="Normal"/>
    <w:link w:val="PieddepageCar"/>
    <w:rsid w:val="00464E1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/>
      <w:kern w:val="16"/>
      <w:sz w:val="24"/>
      <w:szCs w:val="20"/>
      <w:lang w:eastAsia="fr-FR"/>
    </w:rPr>
  </w:style>
  <w:style w:type="character" w:customStyle="1" w:styleId="PieddepageCar">
    <w:name w:val="Pied de page Car"/>
    <w:link w:val="Pieddepage"/>
    <w:rsid w:val="00464E1C"/>
    <w:rPr>
      <w:rFonts w:ascii="CG Times (W1)" w:eastAsia="Times New Roman" w:hAnsi="CG Times (W1)"/>
      <w:kern w:val="16"/>
      <w:sz w:val="24"/>
    </w:rPr>
  </w:style>
  <w:style w:type="character" w:styleId="Numrodepage">
    <w:name w:val="page number"/>
    <w:rsid w:val="00464E1C"/>
  </w:style>
  <w:style w:type="paragraph" w:styleId="NormalWeb">
    <w:name w:val="Normal (Web)"/>
    <w:basedOn w:val="Normal"/>
    <w:uiPriority w:val="99"/>
    <w:unhideWhenUsed/>
    <w:rsid w:val="0056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5677E7"/>
    <w:rPr>
      <w:b/>
      <w:bCs/>
    </w:rPr>
  </w:style>
  <w:style w:type="character" w:styleId="Lienhypertexte">
    <w:name w:val="Hyperlink"/>
    <w:uiPriority w:val="99"/>
    <w:unhideWhenUsed/>
    <w:rsid w:val="00B861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6C97"/>
    <w:pPr>
      <w:spacing w:after="160" w:line="259" w:lineRule="auto"/>
      <w:ind w:left="720"/>
      <w:contextualSpacing/>
    </w:pPr>
  </w:style>
  <w:style w:type="character" w:customStyle="1" w:styleId="hgkelc">
    <w:name w:val="hgkelc"/>
    <w:rsid w:val="003979C8"/>
  </w:style>
  <w:style w:type="character" w:styleId="Mentionnonrsolue">
    <w:name w:val="Unresolved Mention"/>
    <w:uiPriority w:val="99"/>
    <w:semiHidden/>
    <w:unhideWhenUsed/>
    <w:rsid w:val="003979C8"/>
    <w:rPr>
      <w:color w:val="605E5C"/>
      <w:shd w:val="clear" w:color="auto" w:fill="E1DFDD"/>
    </w:rPr>
  </w:style>
  <w:style w:type="character" w:styleId="Marquedecommentaire">
    <w:name w:val="annotation reference"/>
    <w:uiPriority w:val="99"/>
    <w:semiHidden/>
    <w:unhideWhenUsed/>
    <w:rsid w:val="00A503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033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A5033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33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50331"/>
    <w:rPr>
      <w:b/>
      <w:bCs/>
      <w:lang w:eastAsia="en-US"/>
    </w:rPr>
  </w:style>
  <w:style w:type="paragraph" w:styleId="Rvision">
    <w:name w:val="Revision"/>
    <w:hidden/>
    <w:uiPriority w:val="99"/>
    <w:semiHidden/>
    <w:rsid w:val="00A503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.raiej@univ-paris1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lorence.Robin-Sabil@univ-paris1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kim.Bouchikeir@univ-paris1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7799</CharactersWithSpaces>
  <SharedDoc>false</SharedDoc>
  <HLinks>
    <vt:vector size="18" baseType="variant"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mailto:Florence.Robin-Sabil@univ-paris1.fr</vt:lpwstr>
      </vt:variant>
      <vt:variant>
        <vt:lpwstr/>
      </vt:variant>
      <vt:variant>
        <vt:i4>262256</vt:i4>
      </vt:variant>
      <vt:variant>
        <vt:i4>3</vt:i4>
      </vt:variant>
      <vt:variant>
        <vt:i4>0</vt:i4>
      </vt:variant>
      <vt:variant>
        <vt:i4>5</vt:i4>
      </vt:variant>
      <vt:variant>
        <vt:lpwstr>mailto:Hakim.Bouchikeir@univ-paris1.fr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mailto:adj.raiej@univ-paris1.fr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Sandrine Cesareo</cp:lastModifiedBy>
  <cp:revision>2</cp:revision>
  <cp:lastPrinted>2018-06-14T09:54:00Z</cp:lastPrinted>
  <dcterms:created xsi:type="dcterms:W3CDTF">2024-10-11T08:14:00Z</dcterms:created>
  <dcterms:modified xsi:type="dcterms:W3CDTF">2024-10-11T08:14:00Z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2024-10-11T08:14:05Z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b3ec3c9e-543e-419f-b237-131295a62485</vt:lpwstr>
  </property>
  <property fmtid="{D5CDD505-2E9C-101B-9397-08002B2CF9AE}" pid="8" name="MSIP_Label_d5c20be7-c3a5-46e3-9158-fa8a02ce2395_ContentBits">
    <vt:lpwstr>0</vt:lpwstr>
  </property>
</Properties>
</file>