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56A1" w14:textId="7BAD3144" w:rsidR="00464E1C" w:rsidRPr="00B455AC" w:rsidRDefault="000D589C" w:rsidP="00B317BD">
      <w:pPr>
        <w:tabs>
          <w:tab w:val="center" w:pos="4748"/>
          <w:tab w:val="right" w:pos="6378"/>
        </w:tabs>
        <w:overflowPunct w:val="0"/>
        <w:autoSpaceDE w:val="0"/>
        <w:autoSpaceDN w:val="0"/>
        <w:adjustRightInd w:val="0"/>
        <w:spacing w:after="0" w:line="240" w:lineRule="auto"/>
        <w:ind w:right="2920"/>
        <w:contextualSpacing/>
        <w:textAlignment w:val="baseline"/>
        <w:rPr>
          <w:rFonts w:ascii="Times New Roman" w:eastAsia="Times New Roman" w:hAnsi="Times New Roman"/>
          <w:kern w:val="16"/>
          <w:lang w:eastAsia="fr-FR"/>
        </w:rPr>
      </w:pPr>
      <w:r w:rsidRPr="00B455AC">
        <w:rPr>
          <w:rFonts w:ascii="Times New Roman" w:hAnsi="Times New Roman"/>
          <w:b/>
          <w:noProof/>
          <w:lang w:eastAsia="fr-FR"/>
        </w:rPr>
        <mc:AlternateContent>
          <mc:Choice Requires="wps">
            <w:drawing>
              <wp:anchor distT="0" distB="0" distL="114300" distR="114300" simplePos="0" relativeHeight="251657728" behindDoc="0" locked="0" layoutInCell="1" allowOverlap="1" wp14:anchorId="77201C22" wp14:editId="7E4A18FA">
                <wp:simplePos x="0" y="0"/>
                <wp:positionH relativeFrom="column">
                  <wp:posOffset>2658110</wp:posOffset>
                </wp:positionH>
                <wp:positionV relativeFrom="paragraph">
                  <wp:posOffset>298450</wp:posOffset>
                </wp:positionV>
                <wp:extent cx="3467100" cy="438150"/>
                <wp:effectExtent l="9525" t="9525" r="9525" b="9525"/>
                <wp:wrapNone/>
                <wp:docPr id="1854204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38150"/>
                        </a:xfrm>
                        <a:prstGeom prst="rect">
                          <a:avLst/>
                        </a:prstGeom>
                        <a:solidFill>
                          <a:srgbClr val="FFFFFF"/>
                        </a:solidFill>
                        <a:ln w="9525">
                          <a:solidFill>
                            <a:srgbClr val="000000"/>
                          </a:solidFill>
                          <a:miter lim="800000"/>
                          <a:headEnd/>
                          <a:tailEnd/>
                        </a:ln>
                      </wps:spPr>
                      <wps:txbx>
                        <w:txbxContent>
                          <w:p w14:paraId="295A927B" w14:textId="77777777" w:rsidR="001D481A" w:rsidRPr="005677E7" w:rsidRDefault="001D481A" w:rsidP="005677E7">
                            <w:pPr>
                              <w:jc w:val="center"/>
                              <w:rPr>
                                <w:b/>
                                <w:sz w:val="36"/>
                                <w:szCs w:val="36"/>
                              </w:rPr>
                            </w:pPr>
                            <w:r w:rsidRPr="005677E7">
                              <w:rPr>
                                <w:b/>
                                <w:sz w:val="36"/>
                                <w:szCs w:val="36"/>
                              </w:rPr>
                              <w:t>FICHE DE 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01C22" id="_x0000_t202" coordsize="21600,21600" o:spt="202" path="m,l,21600r21600,l21600,xe">
                <v:stroke joinstyle="miter"/>
                <v:path gradientshapeok="t" o:connecttype="rect"/>
              </v:shapetype>
              <v:shape id="Text Box 2" o:spid="_x0000_s1026" type="#_x0000_t202" style="position:absolute;margin-left:209.3pt;margin-top:23.5pt;width:273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">
                <v:textbox>
                  <w:txbxContent>
                    <w:p w14:paraId="295A927B" w14:textId="77777777" w:rsidR="001D481A" w:rsidRPr="005677E7" w:rsidRDefault="001D481A" w:rsidP="005677E7">
                      <w:pPr>
                        <w:jc w:val="center"/>
                        <w:rPr>
                          <w:b/>
                          <w:sz w:val="36"/>
                          <w:szCs w:val="36"/>
                        </w:rPr>
                      </w:pPr>
                      <w:r w:rsidRPr="005677E7">
                        <w:rPr>
                          <w:b/>
                          <w:sz w:val="36"/>
                          <w:szCs w:val="36"/>
                        </w:rPr>
                        <w:t>FICHE DE POSTE</w:t>
                      </w:r>
                    </w:p>
                  </w:txbxContent>
                </v:textbox>
              </v:shape>
            </w:pict>
          </mc:Fallback>
        </mc:AlternateContent>
      </w:r>
      <w:r w:rsidRPr="00B455AC">
        <w:rPr>
          <w:rFonts w:ascii="Times New Roman" w:hAnsi="Times New Roman"/>
          <w:b/>
          <w:noProof/>
        </w:rPr>
        <w:drawing>
          <wp:inline distT="0" distB="0" distL="0" distR="0" wp14:anchorId="25E44E5F" wp14:editId="3E48070C">
            <wp:extent cx="1885950" cy="1041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041400"/>
                    </a:xfrm>
                    <a:prstGeom prst="rect">
                      <a:avLst/>
                    </a:prstGeom>
                    <a:noFill/>
                    <a:ln>
                      <a:noFill/>
                    </a:ln>
                  </pic:spPr>
                </pic:pic>
              </a:graphicData>
            </a:graphic>
          </wp:inline>
        </w:drawing>
      </w:r>
    </w:p>
    <w:p w14:paraId="61741ABB" w14:textId="77777777" w:rsidR="00464E1C" w:rsidRPr="00B455AC" w:rsidRDefault="00464E1C" w:rsidP="00B317BD">
      <w:pPr>
        <w:overflowPunct w:val="0"/>
        <w:autoSpaceDE w:val="0"/>
        <w:autoSpaceDN w:val="0"/>
        <w:adjustRightInd w:val="0"/>
        <w:spacing w:after="0" w:line="240" w:lineRule="auto"/>
        <w:contextualSpacing/>
        <w:jc w:val="center"/>
        <w:textAlignment w:val="baseline"/>
        <w:rPr>
          <w:rFonts w:ascii="Times New Roman" w:eastAsia="Times New Roman" w:hAnsi="Times New Roman"/>
          <w:kern w:val="16"/>
          <w:lang w:eastAsia="fr-FR"/>
        </w:rPr>
      </w:pPr>
    </w:p>
    <w:tbl>
      <w:tblPr>
        <w:tblW w:w="10774" w:type="dxa"/>
        <w:tblInd w:w="-63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521"/>
        <w:gridCol w:w="4253"/>
      </w:tblGrid>
      <w:tr w:rsidR="00464E1C" w:rsidRPr="00B455AC" w14:paraId="2BB16804" w14:textId="77777777" w:rsidTr="00647D54">
        <w:tblPrEx>
          <w:tblCellMar>
            <w:top w:w="0" w:type="dxa"/>
            <w:bottom w:w="0" w:type="dxa"/>
          </w:tblCellMar>
        </w:tblPrEx>
        <w:trPr>
          <w:cantSplit/>
          <w:trHeight w:val="306"/>
        </w:trPr>
        <w:tc>
          <w:tcPr>
            <w:tcW w:w="10774" w:type="dxa"/>
            <w:gridSpan w:val="2"/>
            <w:tcBorders>
              <w:top w:val="single" w:sz="4" w:space="0" w:color="auto"/>
              <w:left w:val="single" w:sz="4" w:space="0" w:color="auto"/>
              <w:bottom w:val="single" w:sz="4" w:space="0" w:color="auto"/>
              <w:right w:val="single" w:sz="4" w:space="0" w:color="auto"/>
            </w:tcBorders>
          </w:tcPr>
          <w:p w14:paraId="3E325346" w14:textId="77777777" w:rsidR="00464E1C" w:rsidRPr="00B86811" w:rsidRDefault="00464E1C" w:rsidP="00B317BD">
            <w:pPr>
              <w:overflowPunct w:val="0"/>
              <w:autoSpaceDE w:val="0"/>
              <w:autoSpaceDN w:val="0"/>
              <w:adjustRightInd w:val="0"/>
              <w:spacing w:after="0" w:line="240" w:lineRule="auto"/>
              <w:contextualSpacing/>
              <w:jc w:val="center"/>
              <w:textAlignment w:val="baseline"/>
              <w:rPr>
                <w:rFonts w:eastAsia="Times New Roman"/>
                <w:kern w:val="16"/>
                <w:sz w:val="24"/>
                <w:szCs w:val="24"/>
                <w:lang w:eastAsia="fr-FR"/>
              </w:rPr>
            </w:pPr>
            <w:r w:rsidRPr="00B86811">
              <w:rPr>
                <w:rFonts w:eastAsia="Times New Roman"/>
                <w:b/>
                <w:kern w:val="16"/>
                <w:sz w:val="24"/>
                <w:szCs w:val="24"/>
                <w:lang w:eastAsia="fr-FR"/>
              </w:rPr>
              <w:t xml:space="preserve">UNIVERSITE PARIS 1 – PANTHEON </w:t>
            </w:r>
            <w:r w:rsidR="00B455AC" w:rsidRPr="00B86811">
              <w:rPr>
                <w:rFonts w:eastAsia="Times New Roman"/>
                <w:b/>
                <w:kern w:val="16"/>
                <w:sz w:val="24"/>
                <w:szCs w:val="24"/>
                <w:lang w:eastAsia="fr-FR"/>
              </w:rPr>
              <w:t>S</w:t>
            </w:r>
            <w:r w:rsidRPr="00B86811">
              <w:rPr>
                <w:rFonts w:eastAsia="Times New Roman"/>
                <w:b/>
                <w:kern w:val="16"/>
                <w:sz w:val="24"/>
                <w:szCs w:val="24"/>
                <w:lang w:eastAsia="fr-FR"/>
              </w:rPr>
              <w:t>ORBONNE</w:t>
            </w:r>
          </w:p>
        </w:tc>
      </w:tr>
      <w:tr w:rsidR="00464E1C" w:rsidRPr="00B455AC" w14:paraId="4FC735E8" w14:textId="77777777" w:rsidTr="003979C8">
        <w:tblPrEx>
          <w:tblCellMar>
            <w:top w:w="0" w:type="dxa"/>
            <w:bottom w:w="0" w:type="dxa"/>
          </w:tblCellMar>
        </w:tblPrEx>
        <w:trPr>
          <w:trHeight w:val="1573"/>
        </w:trPr>
        <w:tc>
          <w:tcPr>
            <w:tcW w:w="6521" w:type="dxa"/>
            <w:tcBorders>
              <w:top w:val="single" w:sz="4" w:space="0" w:color="auto"/>
              <w:bottom w:val="single" w:sz="4" w:space="0" w:color="auto"/>
              <w:right w:val="single" w:sz="6" w:space="0" w:color="auto"/>
            </w:tcBorders>
          </w:tcPr>
          <w:p w14:paraId="4FF03526" w14:textId="77777777" w:rsidR="00464E1C" w:rsidRDefault="00464E1C" w:rsidP="00B317BD">
            <w:pPr>
              <w:overflowPunct w:val="0"/>
              <w:autoSpaceDE w:val="0"/>
              <w:autoSpaceDN w:val="0"/>
              <w:adjustRightInd w:val="0"/>
              <w:spacing w:after="0" w:line="240" w:lineRule="auto"/>
              <w:contextualSpacing/>
              <w:textAlignment w:val="baseline"/>
              <w:rPr>
                <w:rFonts w:eastAsia="Times New Roman"/>
                <w:b/>
                <w:kern w:val="16"/>
                <w:sz w:val="24"/>
                <w:szCs w:val="24"/>
                <w:lang w:eastAsia="fr-FR"/>
              </w:rPr>
            </w:pPr>
            <w:r w:rsidRPr="00B317BD">
              <w:rPr>
                <w:rFonts w:eastAsia="Times New Roman"/>
                <w:b/>
                <w:bCs/>
                <w:kern w:val="16"/>
                <w:sz w:val="24"/>
                <w:szCs w:val="24"/>
                <w:lang w:eastAsia="fr-FR"/>
              </w:rPr>
              <w:t>INTITULÉ DU POSTE</w:t>
            </w:r>
            <w:r w:rsidR="003979C8">
              <w:rPr>
                <w:rFonts w:eastAsia="Times New Roman"/>
                <w:b/>
                <w:bCs/>
                <w:kern w:val="16"/>
                <w:sz w:val="24"/>
                <w:szCs w:val="24"/>
                <w:lang w:eastAsia="fr-FR"/>
              </w:rPr>
              <w:t xml:space="preserve"> </w:t>
            </w:r>
            <w:r w:rsidR="007353BD" w:rsidRPr="00B317BD">
              <w:rPr>
                <w:rFonts w:eastAsia="Times New Roman"/>
                <w:b/>
                <w:bCs/>
                <w:kern w:val="16"/>
                <w:sz w:val="24"/>
                <w:szCs w:val="24"/>
                <w:lang w:eastAsia="fr-FR"/>
              </w:rPr>
              <w:t>:</w:t>
            </w:r>
            <w:r w:rsidR="007353BD" w:rsidRPr="00B86811">
              <w:rPr>
                <w:rFonts w:eastAsia="Times New Roman"/>
                <w:b/>
                <w:kern w:val="16"/>
                <w:sz w:val="24"/>
                <w:szCs w:val="24"/>
                <w:lang w:eastAsia="fr-FR"/>
              </w:rPr>
              <w:t xml:space="preserve"> </w:t>
            </w:r>
            <w:r w:rsidR="00840980">
              <w:rPr>
                <w:rFonts w:eastAsia="Times New Roman"/>
                <w:b/>
                <w:kern w:val="16"/>
                <w:sz w:val="24"/>
                <w:szCs w:val="24"/>
                <w:lang w:eastAsia="fr-FR"/>
              </w:rPr>
              <w:t>Enseignant contractuel</w:t>
            </w:r>
          </w:p>
          <w:p w14:paraId="4D33C886" w14:textId="77777777" w:rsidR="00B455AC" w:rsidRPr="005C2558" w:rsidRDefault="003979C8" w:rsidP="00B317BD">
            <w:pPr>
              <w:overflowPunct w:val="0"/>
              <w:autoSpaceDE w:val="0"/>
              <w:autoSpaceDN w:val="0"/>
              <w:adjustRightInd w:val="0"/>
              <w:spacing w:after="0" w:line="240" w:lineRule="auto"/>
              <w:contextualSpacing/>
              <w:textAlignment w:val="baseline"/>
              <w:rPr>
                <w:rFonts w:eastAsia="Times New Roman"/>
                <w:b/>
                <w:color w:val="FF0000"/>
                <w:kern w:val="16"/>
                <w:sz w:val="24"/>
                <w:szCs w:val="24"/>
                <w:lang w:eastAsia="fr-FR"/>
              </w:rPr>
            </w:pPr>
            <w:r w:rsidRPr="003979C8">
              <w:rPr>
                <w:rFonts w:eastAsia="Times New Roman"/>
                <w:b/>
                <w:color w:val="FF0000"/>
                <w:kern w:val="16"/>
                <w:sz w:val="24"/>
                <w:szCs w:val="24"/>
                <w:lang w:eastAsia="fr-FR"/>
              </w:rPr>
              <w:t xml:space="preserve">PROFIL DU POSTE : </w:t>
            </w:r>
            <w:r w:rsidR="005C2558" w:rsidRPr="003979C8">
              <w:rPr>
                <w:rFonts w:eastAsia="Times New Roman"/>
                <w:b/>
                <w:color w:val="FF0000"/>
                <w:kern w:val="16"/>
                <w:sz w:val="24"/>
                <w:szCs w:val="24"/>
                <w:lang w:eastAsia="fr-FR"/>
              </w:rPr>
              <w:t xml:space="preserve">Chargé d’enseignement </w:t>
            </w:r>
            <w:r w:rsidR="005C2558" w:rsidRPr="00D052B7">
              <w:rPr>
                <w:rFonts w:eastAsia="Times New Roman"/>
                <w:b/>
                <w:color w:val="FF0000"/>
                <w:kern w:val="16"/>
                <w:sz w:val="24"/>
                <w:szCs w:val="24"/>
                <w:lang w:eastAsia="fr-FR"/>
              </w:rPr>
              <w:t>et d'ingénierie pédagogique</w:t>
            </w:r>
            <w:r w:rsidR="005C2558" w:rsidRPr="003979C8">
              <w:rPr>
                <w:rFonts w:eastAsia="Times New Roman"/>
                <w:b/>
                <w:color w:val="FF0000"/>
                <w:kern w:val="16"/>
                <w:sz w:val="24"/>
                <w:szCs w:val="24"/>
                <w:lang w:eastAsia="fr-FR"/>
              </w:rPr>
              <w:t xml:space="preserve"> sous contrat à durée déterminée à l’UFR </w:t>
            </w:r>
            <w:r w:rsidR="005C2558" w:rsidRPr="003979C8">
              <w:rPr>
                <w:rFonts w:eastAsia="Times New Roman"/>
                <w:b/>
                <w:i/>
                <w:iCs/>
                <w:color w:val="FF0000"/>
                <w:kern w:val="16"/>
                <w:sz w:val="24"/>
                <w:szCs w:val="24"/>
                <w:lang w:eastAsia="fr-FR"/>
              </w:rPr>
              <w:t>Ecole de Droit de la Sorbonne</w:t>
            </w:r>
            <w:r w:rsidR="005C2558" w:rsidRPr="003979C8">
              <w:rPr>
                <w:rFonts w:eastAsia="Times New Roman"/>
                <w:b/>
                <w:color w:val="FF0000"/>
                <w:kern w:val="16"/>
                <w:sz w:val="24"/>
                <w:szCs w:val="24"/>
                <w:lang w:eastAsia="fr-FR"/>
              </w:rPr>
              <w:t xml:space="preserve"> (en application de l’article L. 954-3 du Code de l’éducation)</w:t>
            </w:r>
          </w:p>
          <w:p w14:paraId="56A08EBA" w14:textId="77777777" w:rsidR="00F23304" w:rsidRPr="00B86811" w:rsidRDefault="00F23304" w:rsidP="00B317BD">
            <w:pPr>
              <w:overflowPunct w:val="0"/>
              <w:autoSpaceDE w:val="0"/>
              <w:autoSpaceDN w:val="0"/>
              <w:adjustRightInd w:val="0"/>
              <w:spacing w:after="0" w:line="240" w:lineRule="auto"/>
              <w:contextualSpacing/>
              <w:textAlignment w:val="baseline"/>
              <w:rPr>
                <w:rFonts w:eastAsia="Times New Roman"/>
                <w:b/>
                <w:kern w:val="16"/>
                <w:sz w:val="24"/>
                <w:szCs w:val="24"/>
                <w:lang w:eastAsia="fr-FR"/>
              </w:rPr>
            </w:pPr>
          </w:p>
        </w:tc>
        <w:tc>
          <w:tcPr>
            <w:tcW w:w="4253" w:type="dxa"/>
            <w:tcBorders>
              <w:top w:val="single" w:sz="4" w:space="0" w:color="auto"/>
              <w:left w:val="single" w:sz="6" w:space="0" w:color="auto"/>
              <w:bottom w:val="single" w:sz="4" w:space="0" w:color="auto"/>
            </w:tcBorders>
          </w:tcPr>
          <w:p w14:paraId="68904B70" w14:textId="77777777" w:rsidR="00464E1C" w:rsidRPr="007353BD" w:rsidRDefault="005677E7" w:rsidP="00B317BD">
            <w:pPr>
              <w:overflowPunct w:val="0"/>
              <w:autoSpaceDE w:val="0"/>
              <w:autoSpaceDN w:val="0"/>
              <w:adjustRightInd w:val="0"/>
              <w:spacing w:after="0" w:line="240" w:lineRule="auto"/>
              <w:contextualSpacing/>
              <w:textAlignment w:val="baseline"/>
              <w:rPr>
                <w:rFonts w:eastAsia="Times New Roman"/>
                <w:b/>
                <w:kern w:val="16"/>
                <w:sz w:val="24"/>
                <w:szCs w:val="24"/>
                <w:lang w:eastAsia="fr-FR"/>
              </w:rPr>
            </w:pPr>
            <w:r w:rsidRPr="007353BD">
              <w:rPr>
                <w:rFonts w:eastAsia="Times New Roman"/>
                <w:b/>
                <w:kern w:val="16"/>
                <w:sz w:val="24"/>
                <w:szCs w:val="24"/>
                <w:lang w:eastAsia="fr-FR"/>
              </w:rPr>
              <w:t xml:space="preserve">Catégorie </w:t>
            </w:r>
            <w:r w:rsidR="00E92807">
              <w:rPr>
                <w:rFonts w:eastAsia="Times New Roman"/>
                <w:b/>
                <w:kern w:val="16"/>
                <w:sz w:val="24"/>
                <w:szCs w:val="24"/>
                <w:lang w:eastAsia="fr-FR"/>
              </w:rPr>
              <w:t>A</w:t>
            </w:r>
          </w:p>
          <w:p w14:paraId="02AAE7AD" w14:textId="77777777" w:rsidR="00741742" w:rsidRPr="00B86811" w:rsidRDefault="00741742" w:rsidP="00B317BD">
            <w:pPr>
              <w:overflowPunct w:val="0"/>
              <w:autoSpaceDE w:val="0"/>
              <w:autoSpaceDN w:val="0"/>
              <w:adjustRightInd w:val="0"/>
              <w:spacing w:after="0" w:line="240" w:lineRule="auto"/>
              <w:contextualSpacing/>
              <w:textAlignment w:val="baseline"/>
              <w:rPr>
                <w:rFonts w:eastAsia="Times New Roman"/>
                <w:kern w:val="16"/>
                <w:sz w:val="24"/>
                <w:szCs w:val="24"/>
                <w:lang w:eastAsia="fr-FR"/>
              </w:rPr>
            </w:pPr>
          </w:p>
          <w:p w14:paraId="71867F1B" w14:textId="77777777" w:rsidR="00CE603C" w:rsidRPr="00B86811" w:rsidRDefault="00CE603C" w:rsidP="00B317BD">
            <w:pPr>
              <w:overflowPunct w:val="0"/>
              <w:autoSpaceDE w:val="0"/>
              <w:autoSpaceDN w:val="0"/>
              <w:adjustRightInd w:val="0"/>
              <w:spacing w:after="0" w:line="240" w:lineRule="auto"/>
              <w:contextualSpacing/>
              <w:textAlignment w:val="baseline"/>
              <w:rPr>
                <w:rFonts w:eastAsia="Times New Roman"/>
                <w:kern w:val="16"/>
                <w:sz w:val="24"/>
                <w:szCs w:val="24"/>
                <w:lang w:eastAsia="fr-FR"/>
              </w:rPr>
            </w:pPr>
          </w:p>
        </w:tc>
      </w:tr>
      <w:tr w:rsidR="00464E1C" w:rsidRPr="00B455AC" w14:paraId="2DF50075" w14:textId="77777777" w:rsidTr="003338F5">
        <w:tblPrEx>
          <w:tblCellMar>
            <w:top w:w="0" w:type="dxa"/>
            <w:bottom w:w="0" w:type="dxa"/>
          </w:tblCellMar>
        </w:tblPrEx>
        <w:trPr>
          <w:cantSplit/>
          <w:trHeight w:val="401"/>
        </w:trPr>
        <w:tc>
          <w:tcPr>
            <w:tcW w:w="10774" w:type="dxa"/>
            <w:gridSpan w:val="2"/>
            <w:tcBorders>
              <w:top w:val="single" w:sz="4" w:space="0" w:color="auto"/>
              <w:left w:val="single" w:sz="4" w:space="0" w:color="auto"/>
              <w:bottom w:val="single" w:sz="4" w:space="0" w:color="auto"/>
              <w:right w:val="single" w:sz="4" w:space="0" w:color="auto"/>
            </w:tcBorders>
          </w:tcPr>
          <w:p w14:paraId="286BE2DE" w14:textId="77777777" w:rsidR="00741742" w:rsidRPr="00B86811" w:rsidRDefault="00741742" w:rsidP="00B317BD">
            <w:pPr>
              <w:overflowPunct w:val="0"/>
              <w:autoSpaceDE w:val="0"/>
              <w:autoSpaceDN w:val="0"/>
              <w:adjustRightInd w:val="0"/>
              <w:spacing w:after="0" w:line="240" w:lineRule="auto"/>
              <w:contextualSpacing/>
              <w:jc w:val="center"/>
              <w:textAlignment w:val="baseline"/>
              <w:rPr>
                <w:rFonts w:eastAsia="Times New Roman"/>
                <w:b/>
                <w:kern w:val="16"/>
                <w:sz w:val="24"/>
                <w:szCs w:val="24"/>
                <w:lang w:eastAsia="fr-FR"/>
              </w:rPr>
            </w:pPr>
          </w:p>
          <w:p w14:paraId="4DEB3377" w14:textId="77777777" w:rsidR="00464E1C" w:rsidRPr="00B86811" w:rsidRDefault="00464E1C" w:rsidP="00B317BD">
            <w:pPr>
              <w:overflowPunct w:val="0"/>
              <w:autoSpaceDE w:val="0"/>
              <w:autoSpaceDN w:val="0"/>
              <w:adjustRightInd w:val="0"/>
              <w:spacing w:after="0" w:line="240" w:lineRule="auto"/>
              <w:contextualSpacing/>
              <w:jc w:val="center"/>
              <w:textAlignment w:val="baseline"/>
              <w:rPr>
                <w:rFonts w:eastAsia="Times New Roman"/>
                <w:b/>
                <w:kern w:val="16"/>
                <w:sz w:val="24"/>
                <w:szCs w:val="24"/>
                <w:lang w:eastAsia="fr-FR"/>
              </w:rPr>
            </w:pPr>
            <w:r w:rsidRPr="00B86811">
              <w:rPr>
                <w:rFonts w:eastAsia="Times New Roman"/>
                <w:b/>
                <w:kern w:val="16"/>
                <w:sz w:val="24"/>
                <w:szCs w:val="24"/>
                <w:lang w:eastAsia="fr-FR"/>
              </w:rPr>
              <w:t xml:space="preserve">LOCALISATION : Institut d’Etudes Judiciaires </w:t>
            </w:r>
            <w:r w:rsidR="00840980">
              <w:rPr>
                <w:rFonts w:eastAsia="Times New Roman"/>
                <w:b/>
                <w:kern w:val="16"/>
                <w:sz w:val="24"/>
                <w:szCs w:val="24"/>
                <w:lang w:eastAsia="fr-FR"/>
              </w:rPr>
              <w:t>de la Sorbonne</w:t>
            </w:r>
          </w:p>
          <w:p w14:paraId="53224DBF" w14:textId="77777777" w:rsidR="00741742" w:rsidRPr="00B86811" w:rsidRDefault="001F11B2" w:rsidP="00B317BD">
            <w:pPr>
              <w:overflowPunct w:val="0"/>
              <w:autoSpaceDE w:val="0"/>
              <w:autoSpaceDN w:val="0"/>
              <w:adjustRightInd w:val="0"/>
              <w:spacing w:after="0" w:line="240" w:lineRule="auto"/>
              <w:contextualSpacing/>
              <w:jc w:val="center"/>
              <w:textAlignment w:val="baseline"/>
              <w:rPr>
                <w:rFonts w:eastAsia="Times New Roman"/>
                <w:b/>
                <w:kern w:val="16"/>
                <w:sz w:val="24"/>
                <w:szCs w:val="24"/>
                <w:lang w:eastAsia="fr-FR"/>
              </w:rPr>
            </w:pPr>
            <w:r>
              <w:rPr>
                <w:rFonts w:eastAsia="Times New Roman"/>
                <w:b/>
                <w:kern w:val="16"/>
                <w:sz w:val="24"/>
                <w:szCs w:val="24"/>
                <w:lang w:eastAsia="fr-FR"/>
              </w:rPr>
              <w:t>12 place du Panthéon</w:t>
            </w:r>
            <w:r w:rsidR="00741742" w:rsidRPr="00B86811">
              <w:rPr>
                <w:rFonts w:eastAsia="Times New Roman"/>
                <w:b/>
                <w:kern w:val="16"/>
                <w:sz w:val="24"/>
                <w:szCs w:val="24"/>
                <w:lang w:eastAsia="fr-FR"/>
              </w:rPr>
              <w:t xml:space="preserve">, 75005 Paris </w:t>
            </w:r>
          </w:p>
          <w:p w14:paraId="660D7958" w14:textId="77777777" w:rsidR="00741742" w:rsidRPr="00B86811" w:rsidRDefault="00741742" w:rsidP="00B317BD">
            <w:pPr>
              <w:overflowPunct w:val="0"/>
              <w:autoSpaceDE w:val="0"/>
              <w:autoSpaceDN w:val="0"/>
              <w:adjustRightInd w:val="0"/>
              <w:spacing w:after="0" w:line="240" w:lineRule="auto"/>
              <w:contextualSpacing/>
              <w:jc w:val="center"/>
              <w:textAlignment w:val="baseline"/>
              <w:rPr>
                <w:rFonts w:eastAsia="Times New Roman"/>
                <w:b/>
                <w:kern w:val="16"/>
                <w:sz w:val="24"/>
                <w:szCs w:val="24"/>
                <w:lang w:eastAsia="fr-FR"/>
              </w:rPr>
            </w:pPr>
          </w:p>
        </w:tc>
      </w:tr>
      <w:tr w:rsidR="00464E1C" w:rsidRPr="00B455AC" w14:paraId="2433D21B" w14:textId="77777777" w:rsidTr="004B1D3A">
        <w:tblPrEx>
          <w:tblCellMar>
            <w:top w:w="0" w:type="dxa"/>
            <w:bottom w:w="0" w:type="dxa"/>
          </w:tblCellMar>
        </w:tblPrEx>
        <w:trPr>
          <w:cantSplit/>
          <w:trHeight w:val="421"/>
        </w:trPr>
        <w:tc>
          <w:tcPr>
            <w:tcW w:w="10774" w:type="dxa"/>
            <w:gridSpan w:val="2"/>
            <w:tcBorders>
              <w:top w:val="single" w:sz="4" w:space="0" w:color="auto"/>
              <w:left w:val="single" w:sz="6" w:space="0" w:color="auto"/>
              <w:bottom w:val="single" w:sz="6" w:space="0" w:color="auto"/>
            </w:tcBorders>
          </w:tcPr>
          <w:p w14:paraId="2B1F5A07" w14:textId="77777777" w:rsidR="00741742" w:rsidRPr="00B86811" w:rsidRDefault="00741742" w:rsidP="00B317BD">
            <w:pPr>
              <w:overflowPunct w:val="0"/>
              <w:autoSpaceDE w:val="0"/>
              <w:autoSpaceDN w:val="0"/>
              <w:adjustRightInd w:val="0"/>
              <w:spacing w:after="0" w:line="240" w:lineRule="auto"/>
              <w:contextualSpacing/>
              <w:jc w:val="center"/>
              <w:textAlignment w:val="baseline"/>
              <w:rPr>
                <w:rFonts w:eastAsia="Times New Roman"/>
                <w:b/>
                <w:kern w:val="16"/>
                <w:sz w:val="24"/>
                <w:szCs w:val="24"/>
                <w:lang w:eastAsia="fr-FR"/>
              </w:rPr>
            </w:pPr>
          </w:p>
          <w:p w14:paraId="6CCD89FE" w14:textId="77777777" w:rsidR="00464E1C" w:rsidRPr="00B86811" w:rsidRDefault="00464E1C" w:rsidP="00B317BD">
            <w:pPr>
              <w:overflowPunct w:val="0"/>
              <w:autoSpaceDE w:val="0"/>
              <w:autoSpaceDN w:val="0"/>
              <w:adjustRightInd w:val="0"/>
              <w:spacing w:after="0" w:line="240" w:lineRule="auto"/>
              <w:contextualSpacing/>
              <w:jc w:val="center"/>
              <w:textAlignment w:val="baseline"/>
              <w:rPr>
                <w:rFonts w:eastAsia="Times New Roman"/>
                <w:kern w:val="16"/>
                <w:sz w:val="24"/>
                <w:szCs w:val="24"/>
                <w:lang w:eastAsia="fr-FR"/>
              </w:rPr>
            </w:pPr>
            <w:r w:rsidRPr="00B86811">
              <w:rPr>
                <w:rFonts w:eastAsia="Times New Roman"/>
                <w:b/>
                <w:kern w:val="16"/>
                <w:sz w:val="24"/>
                <w:szCs w:val="24"/>
                <w:lang w:eastAsia="fr-FR"/>
              </w:rPr>
              <w:t xml:space="preserve">Rattachement hiérarchique :   </w:t>
            </w:r>
            <w:r w:rsidR="00F44ED1">
              <w:rPr>
                <w:rFonts w:eastAsia="Times New Roman"/>
                <w:b/>
                <w:kern w:val="16"/>
                <w:sz w:val="24"/>
                <w:szCs w:val="24"/>
                <w:lang w:eastAsia="fr-FR"/>
              </w:rPr>
              <w:t>Direct</w:t>
            </w:r>
            <w:r w:rsidR="00840980">
              <w:rPr>
                <w:rFonts w:eastAsia="Times New Roman"/>
                <w:b/>
                <w:kern w:val="16"/>
                <w:sz w:val="24"/>
                <w:szCs w:val="24"/>
                <w:lang w:eastAsia="fr-FR"/>
              </w:rPr>
              <w:t>ion de l’IEJ (Directrice adjointe en charge du pôle ENM)</w:t>
            </w:r>
          </w:p>
        </w:tc>
      </w:tr>
      <w:tr w:rsidR="00464E1C" w:rsidRPr="00B455AC" w14:paraId="6178682C" w14:textId="77777777" w:rsidTr="004B1D3A">
        <w:tblPrEx>
          <w:tblCellMar>
            <w:top w:w="0" w:type="dxa"/>
            <w:bottom w:w="0" w:type="dxa"/>
          </w:tblCellMar>
        </w:tblPrEx>
        <w:trPr>
          <w:trHeight w:val="10247"/>
        </w:trPr>
        <w:tc>
          <w:tcPr>
            <w:tcW w:w="10774" w:type="dxa"/>
            <w:gridSpan w:val="2"/>
            <w:tcBorders>
              <w:top w:val="single" w:sz="6" w:space="0" w:color="auto"/>
              <w:bottom w:val="nil"/>
            </w:tcBorders>
          </w:tcPr>
          <w:p w14:paraId="731020F5" w14:textId="77777777" w:rsidR="00464E1C" w:rsidRPr="00496EE6" w:rsidRDefault="00464E1C" w:rsidP="00B317BD">
            <w:pPr>
              <w:overflowPunct w:val="0"/>
              <w:autoSpaceDE w:val="0"/>
              <w:autoSpaceDN w:val="0"/>
              <w:adjustRightInd w:val="0"/>
              <w:spacing w:after="0" w:line="240" w:lineRule="auto"/>
              <w:contextualSpacing/>
              <w:textAlignment w:val="baseline"/>
              <w:rPr>
                <w:rFonts w:eastAsia="Times New Roman" w:cs="Calibri"/>
                <w:smallCaps/>
                <w:kern w:val="16"/>
                <w:sz w:val="24"/>
                <w:szCs w:val="24"/>
                <w:lang w:eastAsia="fr-FR"/>
              </w:rPr>
            </w:pPr>
          </w:p>
          <w:p w14:paraId="4CCD5E53" w14:textId="77777777" w:rsidR="00741742" w:rsidRPr="00496EE6" w:rsidRDefault="00741742" w:rsidP="00B317BD">
            <w:pPr>
              <w:spacing w:line="240" w:lineRule="auto"/>
              <w:jc w:val="both"/>
              <w:rPr>
                <w:rFonts w:cs="Calibri"/>
                <w:b/>
                <w:sz w:val="24"/>
                <w:szCs w:val="24"/>
                <w:u w:val="single"/>
              </w:rPr>
            </w:pPr>
            <w:r w:rsidRPr="00496EE6">
              <w:rPr>
                <w:rFonts w:cs="Calibri"/>
                <w:b/>
                <w:sz w:val="24"/>
                <w:szCs w:val="24"/>
                <w:u w:val="single"/>
              </w:rPr>
              <w:t>Structure :</w:t>
            </w:r>
          </w:p>
          <w:p w14:paraId="7DA871C9" w14:textId="77777777" w:rsidR="00741742" w:rsidRPr="00496EE6" w:rsidRDefault="00741742" w:rsidP="00B317BD">
            <w:pPr>
              <w:spacing w:line="240" w:lineRule="auto"/>
              <w:jc w:val="both"/>
              <w:rPr>
                <w:rFonts w:cs="Calibri"/>
                <w:sz w:val="24"/>
                <w:szCs w:val="24"/>
              </w:rPr>
            </w:pPr>
            <w:r w:rsidRPr="00496EE6">
              <w:rPr>
                <w:rFonts w:cs="Calibri"/>
                <w:sz w:val="24"/>
                <w:szCs w:val="24"/>
              </w:rPr>
              <w:t xml:space="preserve">L’IEJ </w:t>
            </w:r>
            <w:r w:rsidR="00840980">
              <w:rPr>
                <w:rFonts w:cs="Calibri"/>
                <w:sz w:val="24"/>
                <w:szCs w:val="24"/>
              </w:rPr>
              <w:t>de la Sorbonne</w:t>
            </w:r>
            <w:r w:rsidRPr="00496EE6">
              <w:rPr>
                <w:rFonts w:cs="Calibri"/>
                <w:sz w:val="24"/>
                <w:szCs w:val="24"/>
              </w:rPr>
              <w:t xml:space="preserve"> </w:t>
            </w:r>
            <w:r w:rsidR="00D128EB">
              <w:rPr>
                <w:rFonts w:cs="Calibri"/>
                <w:sz w:val="24"/>
                <w:szCs w:val="24"/>
              </w:rPr>
              <w:t xml:space="preserve">a </w:t>
            </w:r>
            <w:r w:rsidRPr="00496EE6">
              <w:rPr>
                <w:rFonts w:cs="Calibri"/>
                <w:sz w:val="24"/>
                <w:szCs w:val="24"/>
              </w:rPr>
              <w:t>pour mission de former et de préparer les étudiants à l’examen d’accès au Centre Régional de formation professionnelle des Avocats (CRFPA) et de l’Ec</w:t>
            </w:r>
            <w:r w:rsidR="008D58DF" w:rsidRPr="00496EE6">
              <w:rPr>
                <w:rFonts w:cs="Calibri"/>
                <w:sz w:val="24"/>
                <w:szCs w:val="24"/>
              </w:rPr>
              <w:t>ole nationale de la Magistrature (ENM</w:t>
            </w:r>
            <w:proofErr w:type="gramStart"/>
            <w:r w:rsidR="008D58DF" w:rsidRPr="00496EE6">
              <w:rPr>
                <w:rFonts w:cs="Calibri"/>
                <w:sz w:val="24"/>
                <w:szCs w:val="24"/>
              </w:rPr>
              <w:t>)</w:t>
            </w:r>
            <w:r w:rsidRPr="00496EE6">
              <w:rPr>
                <w:rFonts w:cs="Calibri"/>
                <w:sz w:val="24"/>
                <w:szCs w:val="24"/>
              </w:rPr>
              <w:t> .</w:t>
            </w:r>
            <w:proofErr w:type="gramEnd"/>
            <w:r w:rsidRPr="00496EE6">
              <w:rPr>
                <w:rFonts w:cs="Calibri"/>
                <w:sz w:val="24"/>
                <w:szCs w:val="24"/>
              </w:rPr>
              <w:t xml:space="preserve"> </w:t>
            </w:r>
          </w:p>
          <w:p w14:paraId="422231D7" w14:textId="77777777" w:rsidR="00741742" w:rsidRPr="00496EE6" w:rsidRDefault="00741742" w:rsidP="00B317BD">
            <w:pPr>
              <w:spacing w:line="240" w:lineRule="auto"/>
              <w:jc w:val="both"/>
              <w:rPr>
                <w:rFonts w:cs="Calibri"/>
                <w:sz w:val="24"/>
                <w:szCs w:val="24"/>
              </w:rPr>
            </w:pPr>
            <w:r w:rsidRPr="00496EE6">
              <w:rPr>
                <w:rFonts w:cs="Calibri"/>
                <w:sz w:val="24"/>
                <w:szCs w:val="24"/>
              </w:rPr>
              <w:t xml:space="preserve">L’IEJ </w:t>
            </w:r>
            <w:r w:rsidR="00840980">
              <w:rPr>
                <w:rFonts w:cs="Calibri"/>
                <w:sz w:val="24"/>
                <w:szCs w:val="24"/>
              </w:rPr>
              <w:t>de la Sorbonne</w:t>
            </w:r>
            <w:r w:rsidR="00840980" w:rsidRPr="00496EE6">
              <w:rPr>
                <w:rFonts w:cs="Calibri"/>
                <w:sz w:val="24"/>
                <w:szCs w:val="24"/>
              </w:rPr>
              <w:t xml:space="preserve"> </w:t>
            </w:r>
            <w:r w:rsidRPr="00496EE6">
              <w:rPr>
                <w:rFonts w:cs="Calibri"/>
                <w:sz w:val="24"/>
                <w:szCs w:val="24"/>
              </w:rPr>
              <w:t xml:space="preserve">propose des formations à distance, en présentiel, des </w:t>
            </w:r>
            <w:r w:rsidR="00F44ED1" w:rsidRPr="00496EE6">
              <w:rPr>
                <w:rFonts w:cs="Calibri"/>
                <w:sz w:val="24"/>
                <w:szCs w:val="24"/>
              </w:rPr>
              <w:t>préparations tout</w:t>
            </w:r>
            <w:r w:rsidR="008D58DF" w:rsidRPr="00496EE6">
              <w:rPr>
                <w:rFonts w:cs="Calibri"/>
                <w:sz w:val="24"/>
                <w:szCs w:val="24"/>
              </w:rPr>
              <w:t xml:space="preserve"> au long de l’année</w:t>
            </w:r>
            <w:r w:rsidRPr="00496EE6">
              <w:rPr>
                <w:rFonts w:cs="Calibri"/>
                <w:sz w:val="24"/>
                <w:szCs w:val="24"/>
              </w:rPr>
              <w:t>, des galops d’essais, et des préparations d’été.</w:t>
            </w:r>
          </w:p>
          <w:p w14:paraId="34DEEED5" w14:textId="77777777" w:rsidR="003F05EF" w:rsidRPr="00496EE6" w:rsidRDefault="003F05EF" w:rsidP="00B317BD">
            <w:pPr>
              <w:autoSpaceDE w:val="0"/>
              <w:autoSpaceDN w:val="0"/>
              <w:adjustRightInd w:val="0"/>
              <w:spacing w:after="0" w:line="240" w:lineRule="auto"/>
              <w:rPr>
                <w:rFonts w:cs="Calibri"/>
                <w:b/>
                <w:bCs/>
                <w:sz w:val="24"/>
                <w:szCs w:val="24"/>
                <w:lang w:eastAsia="fr-FR"/>
              </w:rPr>
            </w:pPr>
            <w:r w:rsidRPr="00496EE6">
              <w:rPr>
                <w:rFonts w:cs="Calibri"/>
                <w:b/>
                <w:bCs/>
                <w:sz w:val="24"/>
                <w:szCs w:val="24"/>
                <w:lang w:eastAsia="fr-FR"/>
              </w:rPr>
              <w:t>CARACTÉRISTIQUES DU POSTE :</w:t>
            </w:r>
          </w:p>
          <w:p w14:paraId="677D202B" w14:textId="77777777" w:rsidR="003F05EF" w:rsidRPr="00496EE6" w:rsidRDefault="003F05EF" w:rsidP="00B317BD">
            <w:pPr>
              <w:autoSpaceDE w:val="0"/>
              <w:autoSpaceDN w:val="0"/>
              <w:adjustRightInd w:val="0"/>
              <w:spacing w:after="0" w:line="240" w:lineRule="auto"/>
              <w:rPr>
                <w:rFonts w:cs="Calibri"/>
                <w:b/>
                <w:bCs/>
                <w:sz w:val="24"/>
                <w:szCs w:val="24"/>
                <w:lang w:eastAsia="fr-FR"/>
              </w:rPr>
            </w:pPr>
          </w:p>
          <w:p w14:paraId="4647F3B4" w14:textId="77777777" w:rsidR="005E455C" w:rsidRDefault="00E76C97" w:rsidP="00B317BD">
            <w:pPr>
              <w:pStyle w:val="NormalWeb"/>
              <w:shd w:val="clear" w:color="auto" w:fill="FFFFFF"/>
              <w:spacing w:before="0" w:beforeAutospacing="0"/>
              <w:jc w:val="both"/>
              <w:rPr>
                <w:rFonts w:ascii="Calibri" w:hAnsi="Calibri" w:cs="Calibri"/>
              </w:rPr>
            </w:pPr>
            <w:r w:rsidRPr="00496EE6">
              <w:rPr>
                <w:rFonts w:ascii="Calibri" w:hAnsi="Calibri" w:cs="Calibri"/>
              </w:rPr>
              <w:t>Sous la responsabilité de la Directrice</w:t>
            </w:r>
            <w:r w:rsidR="00840980">
              <w:rPr>
                <w:rFonts w:ascii="Calibri" w:hAnsi="Calibri" w:cs="Calibri"/>
              </w:rPr>
              <w:t xml:space="preserve"> adjointe en charge du pôle ENM</w:t>
            </w:r>
            <w:r w:rsidRPr="00496EE6">
              <w:rPr>
                <w:rFonts w:ascii="Calibri" w:hAnsi="Calibri" w:cs="Calibri"/>
              </w:rPr>
              <w:t xml:space="preserve">, </w:t>
            </w:r>
            <w:r w:rsidR="00840980">
              <w:rPr>
                <w:rFonts w:ascii="Calibri" w:hAnsi="Calibri" w:cs="Calibri"/>
              </w:rPr>
              <w:t xml:space="preserve">l’enseignant a le rôle de </w:t>
            </w:r>
            <w:r w:rsidR="004600E6" w:rsidRPr="004600E6">
              <w:rPr>
                <w:rFonts w:ascii="Calibri" w:hAnsi="Calibri" w:cs="Calibri"/>
                <w:b/>
                <w:bCs/>
              </w:rPr>
              <w:t xml:space="preserve">coordonnatrice </w:t>
            </w:r>
            <w:r w:rsidR="00840980" w:rsidRPr="0071696C">
              <w:rPr>
                <w:rFonts w:ascii="Calibri" w:hAnsi="Calibri" w:cs="Calibri"/>
                <w:b/>
                <w:bCs/>
              </w:rPr>
              <w:t>pédagogique de la préparation aux 1</w:t>
            </w:r>
            <w:r w:rsidR="00840980" w:rsidRPr="0071696C">
              <w:rPr>
                <w:rFonts w:ascii="Calibri" w:hAnsi="Calibri" w:cs="Calibri"/>
                <w:b/>
                <w:bCs/>
                <w:vertAlign w:val="superscript"/>
              </w:rPr>
              <w:t>er</w:t>
            </w:r>
            <w:r w:rsidR="00840980" w:rsidRPr="0071696C">
              <w:rPr>
                <w:rFonts w:ascii="Calibri" w:hAnsi="Calibri" w:cs="Calibri"/>
                <w:b/>
                <w:bCs/>
              </w:rPr>
              <w:t>, 2</w:t>
            </w:r>
            <w:r w:rsidR="00840980" w:rsidRPr="0071696C">
              <w:rPr>
                <w:rFonts w:ascii="Calibri" w:hAnsi="Calibri" w:cs="Calibri"/>
                <w:b/>
                <w:bCs/>
                <w:vertAlign w:val="superscript"/>
              </w:rPr>
              <w:t>ème</w:t>
            </w:r>
            <w:r w:rsidR="00840980" w:rsidRPr="0071696C">
              <w:rPr>
                <w:rFonts w:ascii="Calibri" w:hAnsi="Calibri" w:cs="Calibri"/>
                <w:b/>
                <w:bCs/>
              </w:rPr>
              <w:t>, et 3</w:t>
            </w:r>
            <w:r w:rsidR="00840980" w:rsidRPr="0071696C">
              <w:rPr>
                <w:rFonts w:ascii="Calibri" w:hAnsi="Calibri" w:cs="Calibri"/>
                <w:b/>
                <w:bCs/>
                <w:vertAlign w:val="superscript"/>
              </w:rPr>
              <w:t>ème</w:t>
            </w:r>
            <w:r w:rsidR="00840980" w:rsidRPr="0071696C">
              <w:rPr>
                <w:rFonts w:ascii="Calibri" w:hAnsi="Calibri" w:cs="Calibri"/>
                <w:b/>
                <w:bCs/>
              </w:rPr>
              <w:t xml:space="preserve"> concours de l’ENM</w:t>
            </w:r>
            <w:r w:rsidR="00840980">
              <w:rPr>
                <w:rFonts w:ascii="Calibri" w:hAnsi="Calibri" w:cs="Calibri"/>
              </w:rPr>
              <w:t xml:space="preserve">. Il/elle </w:t>
            </w:r>
            <w:r w:rsidRPr="00496EE6">
              <w:rPr>
                <w:rFonts w:ascii="Calibri" w:hAnsi="Calibri" w:cs="Calibri"/>
              </w:rPr>
              <w:t xml:space="preserve">aura comme missions principales promouvoir, animer et organiser la </w:t>
            </w:r>
            <w:r w:rsidR="00131D62">
              <w:rPr>
                <w:rFonts w:ascii="Calibri" w:hAnsi="Calibri" w:cs="Calibri"/>
              </w:rPr>
              <w:t>classe prépa</w:t>
            </w:r>
            <w:r w:rsidRPr="00496EE6">
              <w:rPr>
                <w:rFonts w:ascii="Calibri" w:hAnsi="Calibri" w:cs="Calibri"/>
              </w:rPr>
              <w:t>, en coordination avec la Direct</w:t>
            </w:r>
            <w:r w:rsidR="00840980">
              <w:rPr>
                <w:rFonts w:ascii="Calibri" w:hAnsi="Calibri" w:cs="Calibri"/>
              </w:rPr>
              <w:t>ion de l’IEJ</w:t>
            </w:r>
            <w:r w:rsidRPr="00496EE6">
              <w:rPr>
                <w:rFonts w:ascii="Calibri" w:hAnsi="Calibri" w:cs="Calibri"/>
              </w:rPr>
              <w:t xml:space="preserve">. </w:t>
            </w:r>
          </w:p>
          <w:p w14:paraId="515D1150" w14:textId="77777777" w:rsidR="00DF1CEA" w:rsidRDefault="00B13384"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r w:rsidRPr="006F7256">
              <w:rPr>
                <w:rFonts w:eastAsia="Times New Roman" w:cs="Calibri"/>
                <w:b/>
                <w:sz w:val="24"/>
                <w:szCs w:val="24"/>
                <w:lang w:eastAsia="fr-FR"/>
              </w:rPr>
              <w:t>1.</w:t>
            </w:r>
            <w:r w:rsidR="00DF1CEA">
              <w:rPr>
                <w:rFonts w:eastAsia="Times New Roman" w:cs="Calibri"/>
                <w:b/>
                <w:sz w:val="24"/>
                <w:szCs w:val="24"/>
                <w:u w:val="single"/>
                <w:lang w:eastAsia="fr-FR"/>
              </w:rPr>
              <w:t xml:space="preserve">Enseignements </w:t>
            </w:r>
            <w:r w:rsidR="005E2E7B">
              <w:rPr>
                <w:rFonts w:eastAsia="Times New Roman" w:cs="Calibri"/>
                <w:b/>
                <w:sz w:val="24"/>
                <w:szCs w:val="24"/>
                <w:u w:val="single"/>
                <w:lang w:eastAsia="fr-FR"/>
              </w:rPr>
              <w:t xml:space="preserve">de préparation aux épreuves de </w:t>
            </w:r>
            <w:r w:rsidR="00DF1CEA">
              <w:rPr>
                <w:rFonts w:eastAsia="Times New Roman" w:cs="Calibri"/>
                <w:b/>
                <w:sz w:val="24"/>
                <w:szCs w:val="24"/>
                <w:u w:val="single"/>
                <w:lang w:eastAsia="fr-FR"/>
              </w:rPr>
              <w:t>« Connaissance et compréhension du monde contemporain »</w:t>
            </w:r>
            <w:r w:rsidR="00004FCC">
              <w:rPr>
                <w:rFonts w:eastAsia="Times New Roman" w:cs="Calibri"/>
                <w:b/>
                <w:sz w:val="24"/>
                <w:szCs w:val="24"/>
                <w:u w:val="single"/>
                <w:lang w:eastAsia="fr-FR"/>
              </w:rPr>
              <w:t xml:space="preserve"> (CCMC)</w:t>
            </w:r>
            <w:r>
              <w:rPr>
                <w:rFonts w:eastAsia="Times New Roman" w:cs="Calibri"/>
                <w:b/>
                <w:sz w:val="24"/>
                <w:szCs w:val="24"/>
                <w:u w:val="single"/>
                <w:lang w:eastAsia="fr-FR"/>
              </w:rPr>
              <w:t xml:space="preserve">, </w:t>
            </w:r>
            <w:r w:rsidR="00DF1CEA">
              <w:rPr>
                <w:rFonts w:eastAsia="Times New Roman" w:cs="Calibri"/>
                <w:b/>
                <w:sz w:val="24"/>
                <w:szCs w:val="24"/>
                <w:u w:val="single"/>
                <w:lang w:eastAsia="fr-FR"/>
              </w:rPr>
              <w:t>« Note de synthèse »</w:t>
            </w:r>
            <w:r>
              <w:rPr>
                <w:rFonts w:eastAsia="Times New Roman" w:cs="Calibri"/>
                <w:b/>
                <w:sz w:val="24"/>
                <w:szCs w:val="24"/>
                <w:u w:val="single"/>
                <w:lang w:eastAsia="fr-FR"/>
              </w:rPr>
              <w:t xml:space="preserve"> </w:t>
            </w:r>
            <w:r w:rsidR="00004FCC">
              <w:rPr>
                <w:rFonts w:eastAsia="Times New Roman" w:cs="Calibri"/>
                <w:b/>
                <w:sz w:val="24"/>
                <w:szCs w:val="24"/>
                <w:u w:val="single"/>
                <w:lang w:eastAsia="fr-FR"/>
              </w:rPr>
              <w:t>(</w:t>
            </w:r>
            <w:proofErr w:type="spellStart"/>
            <w:r w:rsidR="00004FCC">
              <w:rPr>
                <w:rFonts w:eastAsia="Times New Roman" w:cs="Calibri"/>
                <w:b/>
                <w:sz w:val="24"/>
                <w:szCs w:val="24"/>
                <w:u w:val="single"/>
                <w:lang w:eastAsia="fr-FR"/>
              </w:rPr>
              <w:t>NdS</w:t>
            </w:r>
            <w:proofErr w:type="spellEnd"/>
            <w:r w:rsidR="00004FCC">
              <w:rPr>
                <w:rFonts w:eastAsia="Times New Roman" w:cs="Calibri"/>
                <w:b/>
                <w:sz w:val="24"/>
                <w:szCs w:val="24"/>
                <w:u w:val="single"/>
                <w:lang w:eastAsia="fr-FR"/>
              </w:rPr>
              <w:t xml:space="preserve">) </w:t>
            </w:r>
            <w:r>
              <w:rPr>
                <w:rFonts w:eastAsia="Times New Roman" w:cs="Calibri"/>
                <w:b/>
                <w:sz w:val="24"/>
                <w:szCs w:val="24"/>
                <w:u w:val="single"/>
                <w:lang w:eastAsia="fr-FR"/>
              </w:rPr>
              <w:t>et « anglais »</w:t>
            </w:r>
          </w:p>
          <w:p w14:paraId="7A6E0A7E" w14:textId="77777777" w:rsidR="00B13384" w:rsidRDefault="00B13384"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p>
          <w:p w14:paraId="6A957B35" w14:textId="77777777" w:rsidR="00B13384" w:rsidRDefault="00B13384"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r w:rsidRPr="006F7256">
              <w:rPr>
                <w:rFonts w:eastAsia="Times New Roman" w:cs="Calibri"/>
                <w:b/>
                <w:sz w:val="24"/>
                <w:szCs w:val="24"/>
                <w:lang w:eastAsia="fr-FR"/>
              </w:rPr>
              <w:t>2.</w:t>
            </w:r>
            <w:r>
              <w:rPr>
                <w:rFonts w:eastAsia="Times New Roman" w:cs="Calibri"/>
                <w:b/>
                <w:sz w:val="24"/>
                <w:szCs w:val="24"/>
                <w:u w:val="single"/>
                <w:lang w:eastAsia="fr-FR"/>
              </w:rPr>
              <w:t xml:space="preserve"> Enseignements</w:t>
            </w:r>
            <w:r w:rsidR="004600E6">
              <w:rPr>
                <w:rFonts w:eastAsia="Times New Roman" w:cs="Calibri"/>
                <w:b/>
                <w:sz w:val="24"/>
                <w:szCs w:val="24"/>
                <w:u w:val="single"/>
                <w:lang w:eastAsia="fr-FR"/>
              </w:rPr>
              <w:t xml:space="preserve"> et accompagnement</w:t>
            </w:r>
            <w:r>
              <w:rPr>
                <w:rFonts w:eastAsia="Times New Roman" w:cs="Calibri"/>
                <w:b/>
                <w:sz w:val="24"/>
                <w:szCs w:val="24"/>
                <w:u w:val="single"/>
                <w:lang w:eastAsia="fr-FR"/>
              </w:rPr>
              <w:t xml:space="preserve"> méthodologiques pour la préparation des concours de l’ENM</w:t>
            </w:r>
          </w:p>
          <w:p w14:paraId="03A48EC7" w14:textId="77777777" w:rsidR="001E1B92" w:rsidRDefault="001E1B92"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p>
          <w:p w14:paraId="5B0618B2" w14:textId="77777777" w:rsidR="001E1B92" w:rsidRDefault="001E1B92"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cs="Calibri"/>
                <w:sz w:val="24"/>
                <w:szCs w:val="24"/>
              </w:rPr>
              <w:t xml:space="preserve">- Accompagnement méthodologique : animation de séances de méthodologie du droit pour </w:t>
            </w:r>
            <w:proofErr w:type="gramStart"/>
            <w:r>
              <w:rPr>
                <w:rFonts w:cs="Calibri"/>
                <w:sz w:val="24"/>
                <w:szCs w:val="24"/>
              </w:rPr>
              <w:t>non juriste</w:t>
            </w:r>
            <w:proofErr w:type="gramEnd"/>
            <w:r>
              <w:rPr>
                <w:rFonts w:cs="Calibri"/>
                <w:sz w:val="24"/>
                <w:szCs w:val="24"/>
              </w:rPr>
              <w:t xml:space="preserve"> ; méthodologie en CCMC, note de synthèse et en anglais</w:t>
            </w:r>
          </w:p>
          <w:p w14:paraId="13EE4B8B" w14:textId="77777777" w:rsidR="001E1B92"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eastAsia="Times New Roman" w:cs="Calibri"/>
                <w:sz w:val="24"/>
                <w:szCs w:val="24"/>
                <w:lang w:eastAsia="fr-FR"/>
              </w:rPr>
              <w:t xml:space="preserve">- </w:t>
            </w:r>
            <w:r w:rsidR="001E1B92">
              <w:rPr>
                <w:rFonts w:eastAsia="Times New Roman" w:cs="Calibri"/>
                <w:sz w:val="24"/>
                <w:szCs w:val="24"/>
                <w:lang w:eastAsia="fr-FR"/>
              </w:rPr>
              <w:t>Ateliers de correction, problématisation et de méthode</w:t>
            </w:r>
          </w:p>
          <w:p w14:paraId="37D4D609" w14:textId="77777777" w:rsidR="001E1B92"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eastAsia="Times New Roman" w:cs="Calibri"/>
                <w:sz w:val="24"/>
                <w:szCs w:val="24"/>
                <w:lang w:eastAsia="fr-FR"/>
              </w:rPr>
              <w:t xml:space="preserve">- </w:t>
            </w:r>
            <w:r w:rsidR="001E1B92">
              <w:rPr>
                <w:rFonts w:eastAsia="Times New Roman" w:cs="Calibri"/>
                <w:sz w:val="24"/>
                <w:szCs w:val="24"/>
                <w:lang w:eastAsia="fr-FR"/>
              </w:rPr>
              <w:t>Séances de questions/réponses</w:t>
            </w:r>
          </w:p>
          <w:p w14:paraId="7B23D622" w14:textId="77777777" w:rsidR="001E1B92"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eastAsia="Times New Roman" w:cs="Calibri"/>
                <w:sz w:val="24"/>
                <w:szCs w:val="24"/>
                <w:lang w:eastAsia="fr-FR"/>
              </w:rPr>
              <w:t xml:space="preserve">- </w:t>
            </w:r>
            <w:r w:rsidR="001E1B92">
              <w:rPr>
                <w:rFonts w:eastAsia="Times New Roman" w:cs="Calibri"/>
                <w:sz w:val="24"/>
                <w:szCs w:val="24"/>
                <w:lang w:eastAsia="fr-FR"/>
              </w:rPr>
              <w:t>Séances de relecture des copies avec les non admissibles ou non admis</w:t>
            </w:r>
          </w:p>
          <w:p w14:paraId="28DABF67" w14:textId="77777777" w:rsidR="001E1B92"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eastAsia="Times New Roman" w:cs="Calibri"/>
                <w:sz w:val="24"/>
                <w:szCs w:val="24"/>
                <w:lang w:eastAsia="fr-FR"/>
              </w:rPr>
              <w:t xml:space="preserve">- </w:t>
            </w:r>
            <w:r w:rsidR="001E1B92">
              <w:rPr>
                <w:rFonts w:eastAsia="Times New Roman" w:cs="Calibri"/>
                <w:sz w:val="24"/>
                <w:szCs w:val="24"/>
                <w:lang w:eastAsia="fr-FR"/>
              </w:rPr>
              <w:t>Coaching individualisé</w:t>
            </w:r>
          </w:p>
          <w:p w14:paraId="6AED9F5E" w14:textId="77777777" w:rsidR="001E1B92"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Pr>
                <w:rFonts w:eastAsia="Times New Roman" w:cs="Calibri"/>
                <w:sz w:val="24"/>
                <w:szCs w:val="24"/>
                <w:lang w:eastAsia="fr-FR"/>
              </w:rPr>
              <w:t xml:space="preserve">- </w:t>
            </w:r>
            <w:r w:rsidR="001E1B92">
              <w:rPr>
                <w:rFonts w:eastAsia="Times New Roman" w:cs="Calibri"/>
                <w:sz w:val="24"/>
                <w:szCs w:val="24"/>
                <w:lang w:eastAsia="fr-FR"/>
              </w:rPr>
              <w:t>Séances de motivations</w:t>
            </w:r>
          </w:p>
          <w:p w14:paraId="3907C7E5" w14:textId="77777777" w:rsidR="005E2E7B" w:rsidRDefault="005E2E7B"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p>
          <w:p w14:paraId="7A8C61A6" w14:textId="77777777" w:rsidR="005E2E7B" w:rsidRDefault="005E2E7B"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r w:rsidRPr="006F7256">
              <w:rPr>
                <w:rFonts w:eastAsia="Times New Roman" w:cs="Calibri"/>
                <w:b/>
                <w:sz w:val="24"/>
                <w:szCs w:val="24"/>
                <w:lang w:eastAsia="fr-FR"/>
              </w:rPr>
              <w:t>3.</w:t>
            </w:r>
            <w:r>
              <w:rPr>
                <w:rFonts w:eastAsia="Times New Roman" w:cs="Calibri"/>
                <w:b/>
                <w:sz w:val="24"/>
                <w:szCs w:val="24"/>
                <w:u w:val="single"/>
                <w:lang w:eastAsia="fr-FR"/>
              </w:rPr>
              <w:t xml:space="preserve"> Coordination et animation pédagogique</w:t>
            </w:r>
            <w:r w:rsidR="00D128EB">
              <w:rPr>
                <w:rFonts w:eastAsia="Times New Roman" w:cs="Calibri"/>
                <w:b/>
                <w:sz w:val="24"/>
                <w:szCs w:val="24"/>
                <w:u w:val="single"/>
                <w:lang w:eastAsia="fr-FR"/>
              </w:rPr>
              <w:t>s</w:t>
            </w:r>
            <w:r>
              <w:rPr>
                <w:rFonts w:eastAsia="Times New Roman" w:cs="Calibri"/>
                <w:b/>
                <w:sz w:val="24"/>
                <w:szCs w:val="24"/>
                <w:u w:val="single"/>
                <w:lang w:eastAsia="fr-FR"/>
              </w:rPr>
              <w:t xml:space="preserve"> des classes préparatoires </w:t>
            </w:r>
          </w:p>
          <w:p w14:paraId="768B05C0" w14:textId="77777777" w:rsidR="00B13384" w:rsidRPr="001E1B92" w:rsidRDefault="00B13384"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Cs/>
                <w:sz w:val="24"/>
                <w:szCs w:val="24"/>
                <w:lang w:eastAsia="fr-FR"/>
              </w:rPr>
            </w:pPr>
          </w:p>
          <w:p w14:paraId="4E689F0B" w14:textId="77777777" w:rsidR="00E76C97" w:rsidRDefault="00E76C97"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bCs/>
                <w:sz w:val="24"/>
                <w:szCs w:val="24"/>
                <w:lang w:eastAsia="fr-FR"/>
              </w:rPr>
            </w:pPr>
            <w:r w:rsidRPr="001E1B92">
              <w:rPr>
                <w:rFonts w:eastAsia="Times New Roman" w:cs="Calibri"/>
                <w:bCs/>
                <w:sz w:val="24"/>
                <w:szCs w:val="24"/>
                <w:lang w:eastAsia="fr-FR"/>
              </w:rPr>
              <w:t xml:space="preserve">En coordination avec la directrice </w:t>
            </w:r>
            <w:r w:rsidR="00840980" w:rsidRPr="001E1B92">
              <w:rPr>
                <w:rFonts w:cs="Calibri"/>
                <w:bCs/>
              </w:rPr>
              <w:t>adjointe en charge du pôle ENM</w:t>
            </w:r>
            <w:r w:rsidR="001E1B92" w:rsidRPr="001E1B92">
              <w:rPr>
                <w:rFonts w:eastAsia="Times New Roman" w:cs="Calibri"/>
                <w:bCs/>
                <w:sz w:val="24"/>
                <w:szCs w:val="24"/>
                <w:lang w:eastAsia="fr-FR"/>
              </w:rPr>
              <w:t>, et pour les enseignements de « Connaissance et compréhension du monde contemporain », « Note de synthèse » et « anglais »</w:t>
            </w:r>
            <w:r w:rsidR="00AC3906">
              <w:rPr>
                <w:rFonts w:eastAsia="Times New Roman" w:cs="Calibri"/>
                <w:bCs/>
                <w:sz w:val="24"/>
                <w:szCs w:val="24"/>
                <w:lang w:eastAsia="fr-FR"/>
              </w:rPr>
              <w:t> :</w:t>
            </w:r>
          </w:p>
          <w:p w14:paraId="1EAA526C" w14:textId="77777777" w:rsidR="00B9361A" w:rsidRPr="001E1B92" w:rsidRDefault="00B9361A" w:rsidP="00B9361A">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Cs/>
                <w:sz w:val="24"/>
                <w:szCs w:val="24"/>
                <w:lang w:eastAsia="fr-FR"/>
              </w:rPr>
            </w:pPr>
            <w:r>
              <w:rPr>
                <w:rFonts w:eastAsia="Times New Roman" w:cs="Calibri"/>
                <w:bCs/>
                <w:sz w:val="24"/>
                <w:szCs w:val="24"/>
                <w:lang w:eastAsia="fr-FR"/>
              </w:rPr>
              <w:t xml:space="preserve">- </w:t>
            </w:r>
            <w:r w:rsidRPr="00AC3906">
              <w:rPr>
                <w:rFonts w:eastAsia="Times New Roman" w:cs="Calibri"/>
                <w:bCs/>
                <w:sz w:val="24"/>
                <w:szCs w:val="24"/>
                <w:lang w:eastAsia="fr-FR"/>
              </w:rPr>
              <w:t>Force de proposition pour les orientations et pratiques pédagogiques et innovation numérique</w:t>
            </w:r>
          </w:p>
          <w:p w14:paraId="0728C285" w14:textId="77777777" w:rsidR="0071696C" w:rsidRDefault="0071696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Organisation régulière de réunion avec les intervenants, échanges d'informations avec les intervenants de ces pôles (diffusion des informations en lien avec le concours, meilleures copies, les rapports des jurys, les évolutions, etc.)</w:t>
            </w:r>
          </w:p>
          <w:p w14:paraId="41BB0E28" w14:textId="77777777" w:rsidR="0071696C" w:rsidRDefault="0071696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lastRenderedPageBreak/>
              <w:t>- Elaboration du calendrier pédagogique progressif</w:t>
            </w:r>
          </w:p>
          <w:p w14:paraId="401AE3F5" w14:textId="77777777" w:rsidR="0071696C" w:rsidRDefault="0071696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Coordination des sujets des entraînements et des galops </w:t>
            </w:r>
          </w:p>
          <w:p w14:paraId="62A7F628" w14:textId="77777777" w:rsidR="0071696C" w:rsidRDefault="0071696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Coordination </w:t>
            </w:r>
            <w:r w:rsidR="006F7256">
              <w:rPr>
                <w:rFonts w:eastAsia="Times New Roman" w:cs="Calibri"/>
                <w:sz w:val="24"/>
                <w:szCs w:val="24"/>
                <w:lang w:eastAsia="fr-FR"/>
              </w:rPr>
              <w:t>de l’</w:t>
            </w:r>
            <w:r>
              <w:rPr>
                <w:rFonts w:eastAsia="Times New Roman" w:cs="Calibri"/>
                <w:sz w:val="24"/>
                <w:szCs w:val="24"/>
                <w:lang w:eastAsia="fr-FR"/>
              </w:rPr>
              <w:t>actualisation des fascicules</w:t>
            </w:r>
          </w:p>
          <w:p w14:paraId="609B59A9" w14:textId="77777777" w:rsidR="00D128EB" w:rsidRDefault="00D128EB"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 xml:space="preserve">Mise en forme, sécurisation et envoi de tous les fascicules aux étudiants </w:t>
            </w:r>
          </w:p>
          <w:p w14:paraId="42CB8F45" w14:textId="77777777" w:rsidR="006F7256" w:rsidRPr="00496EE6" w:rsidRDefault="00E76C97"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sidRPr="00496EE6">
              <w:rPr>
                <w:rFonts w:eastAsia="Times New Roman" w:cs="Calibri"/>
                <w:sz w:val="24"/>
                <w:szCs w:val="24"/>
                <w:lang w:eastAsia="fr-FR"/>
              </w:rPr>
              <w:t xml:space="preserve">- Gestion des pages de </w:t>
            </w:r>
            <w:proofErr w:type="spellStart"/>
            <w:r w:rsidRPr="00496EE6">
              <w:rPr>
                <w:rFonts w:eastAsia="Times New Roman" w:cs="Calibri"/>
                <w:sz w:val="24"/>
                <w:szCs w:val="24"/>
                <w:lang w:eastAsia="fr-FR"/>
              </w:rPr>
              <w:t>N</w:t>
            </w:r>
            <w:r w:rsidR="0071696C">
              <w:rPr>
                <w:rFonts w:eastAsia="Times New Roman" w:cs="Calibri"/>
                <w:sz w:val="24"/>
                <w:szCs w:val="24"/>
                <w:lang w:eastAsia="fr-FR"/>
              </w:rPr>
              <w:t>d</w:t>
            </w:r>
            <w:r w:rsidRPr="00496EE6">
              <w:rPr>
                <w:rFonts w:eastAsia="Times New Roman" w:cs="Calibri"/>
                <w:sz w:val="24"/>
                <w:szCs w:val="24"/>
                <w:lang w:eastAsia="fr-FR"/>
              </w:rPr>
              <w:t>S</w:t>
            </w:r>
            <w:proofErr w:type="spellEnd"/>
            <w:r w:rsidRPr="00496EE6">
              <w:rPr>
                <w:rFonts w:eastAsia="Times New Roman" w:cs="Calibri"/>
                <w:sz w:val="24"/>
                <w:szCs w:val="24"/>
                <w:lang w:eastAsia="fr-FR"/>
              </w:rPr>
              <w:t xml:space="preserve"> et de CCMC : mise en ligne des documents pédagogiques.</w:t>
            </w:r>
          </w:p>
          <w:p w14:paraId="164432F8" w14:textId="77777777" w:rsidR="00991186" w:rsidRDefault="006F725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Coordination et gestion des correcteurs</w:t>
            </w:r>
            <w:r w:rsidRPr="00496EE6">
              <w:rPr>
                <w:rFonts w:eastAsia="Times New Roman" w:cs="Calibri"/>
                <w:sz w:val="24"/>
                <w:szCs w:val="24"/>
                <w:lang w:eastAsia="fr-FR"/>
              </w:rPr>
              <w:t xml:space="preserve"> </w:t>
            </w:r>
            <w:r>
              <w:rPr>
                <w:rFonts w:eastAsia="Times New Roman" w:cs="Calibri"/>
                <w:sz w:val="24"/>
                <w:szCs w:val="24"/>
                <w:lang w:eastAsia="fr-FR"/>
              </w:rPr>
              <w:t>pour la correction des entrainements aux épreuves</w:t>
            </w:r>
          </w:p>
          <w:p w14:paraId="516412F5" w14:textId="77777777" w:rsidR="009A0049" w:rsidRDefault="009A0049"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p>
          <w:p w14:paraId="07382A0F" w14:textId="77777777" w:rsidR="00AC3906" w:rsidRPr="00496EE6" w:rsidRDefault="00AC390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r w:rsidRPr="006F7256">
              <w:rPr>
                <w:rFonts w:eastAsia="Times New Roman" w:cs="Calibri"/>
                <w:b/>
                <w:sz w:val="24"/>
                <w:szCs w:val="24"/>
                <w:lang w:eastAsia="fr-FR"/>
              </w:rPr>
              <w:t>4.</w:t>
            </w:r>
            <w:r>
              <w:rPr>
                <w:rFonts w:eastAsia="Times New Roman" w:cs="Calibri"/>
                <w:b/>
                <w:sz w:val="24"/>
                <w:szCs w:val="24"/>
                <w:u w:val="single"/>
                <w:lang w:eastAsia="fr-FR"/>
              </w:rPr>
              <w:t xml:space="preserve"> Ingénierie pédagogique</w:t>
            </w:r>
            <w:r w:rsidRPr="00496EE6">
              <w:rPr>
                <w:rFonts w:eastAsia="Times New Roman" w:cs="Calibri"/>
                <w:b/>
                <w:sz w:val="24"/>
                <w:szCs w:val="24"/>
                <w:u w:val="single"/>
                <w:lang w:eastAsia="fr-FR"/>
              </w:rPr>
              <w:t xml:space="preserve"> </w:t>
            </w:r>
            <w:r>
              <w:rPr>
                <w:rFonts w:eastAsia="Times New Roman" w:cs="Calibri"/>
                <w:b/>
                <w:sz w:val="24"/>
                <w:szCs w:val="24"/>
                <w:u w:val="single"/>
                <w:lang w:eastAsia="fr-FR"/>
              </w:rPr>
              <w:t>numérique</w:t>
            </w:r>
            <w:r w:rsidRPr="00496EE6">
              <w:rPr>
                <w:rFonts w:eastAsia="Times New Roman" w:cs="Calibri"/>
                <w:b/>
                <w:sz w:val="24"/>
                <w:szCs w:val="24"/>
                <w:u w:val="single"/>
                <w:lang w:eastAsia="fr-FR"/>
              </w:rPr>
              <w:t> : gestion et animation de la plateforme pédagogique</w:t>
            </w:r>
            <w:r>
              <w:rPr>
                <w:rFonts w:eastAsia="Times New Roman" w:cs="Calibri"/>
                <w:b/>
                <w:sz w:val="24"/>
                <w:szCs w:val="24"/>
                <w:u w:val="single"/>
                <w:lang w:eastAsia="fr-FR"/>
              </w:rPr>
              <w:t xml:space="preserve"> numérique</w:t>
            </w:r>
          </w:p>
          <w:p w14:paraId="10B227E4" w14:textId="77777777" w:rsidR="00AC3906" w:rsidRPr="00496EE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p>
          <w:p w14:paraId="1DB11046" w14:textId="77777777" w:rsidR="00AC3906" w:rsidRPr="00496EE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 xml:space="preserve">Mise en place de l'architecture générale des EPI à chaque début d’année (duplication de toutes les pages des EPI) : gestion et harmonisation des pages de cours avec création d’une arborescence commune pour tous les pôles.  </w:t>
            </w:r>
          </w:p>
          <w:p w14:paraId="2CCA1AFB" w14:textId="77777777" w:rsidR="00AC3906" w:rsidRPr="00496EE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 xml:space="preserve">Duplication et paramétrage des blocs pour la remise des copies de galop d’essai et des sujets/corrigés. </w:t>
            </w:r>
          </w:p>
          <w:p w14:paraId="6079E8F2" w14:textId="77777777" w:rsidR="00AC3906" w:rsidRPr="00496EE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Création et gestion des difficultés concernant les cohortes des étudiants et des intervenants (enseignants et correcteurs).</w:t>
            </w:r>
          </w:p>
          <w:p w14:paraId="3FEA7CFB" w14:textId="77777777" w:rsidR="00AC390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Création et mise à jour des tutoriels sur les EPI.</w:t>
            </w:r>
          </w:p>
          <w:p w14:paraId="21C986B2" w14:textId="77777777" w:rsidR="00AC3906" w:rsidRPr="00496EE6" w:rsidRDefault="00AC390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Mise en place et gestion des salles de cours (ou nécessaires aux entrainements) virtuelles (zoom) en collaboration avec les assistants chargés de la captation des cours.</w:t>
            </w:r>
          </w:p>
          <w:p w14:paraId="4B412884" w14:textId="77777777" w:rsidR="009A0049" w:rsidRPr="00B9361A" w:rsidRDefault="00AC3906" w:rsidP="00B9361A">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Pr="00496EE6">
              <w:rPr>
                <w:rFonts w:eastAsia="Times New Roman" w:cs="Calibri"/>
                <w:sz w:val="24"/>
                <w:szCs w:val="24"/>
                <w:lang w:eastAsia="fr-FR"/>
              </w:rPr>
              <w:t xml:space="preserve">Recrutement, formation, et supervision des assistants chargés de la captation des cours. </w:t>
            </w:r>
          </w:p>
          <w:p w14:paraId="1DBC1F3B" w14:textId="77777777" w:rsidR="009A0049" w:rsidRDefault="009A0049"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b/>
                <w:sz w:val="24"/>
                <w:szCs w:val="24"/>
                <w:u w:val="single"/>
                <w:lang w:eastAsia="fr-FR"/>
              </w:rPr>
            </w:pPr>
          </w:p>
          <w:p w14:paraId="5506D4A7" w14:textId="77777777" w:rsidR="00E76C97" w:rsidRPr="00496EE6" w:rsidRDefault="00004FCC"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b/>
                <w:sz w:val="24"/>
                <w:szCs w:val="24"/>
                <w:u w:val="single"/>
                <w:lang w:eastAsia="fr-FR"/>
              </w:rPr>
            </w:pPr>
            <w:r w:rsidRPr="006F7256">
              <w:rPr>
                <w:rFonts w:eastAsia="Times New Roman" w:cs="Calibri"/>
                <w:b/>
                <w:sz w:val="24"/>
                <w:szCs w:val="24"/>
                <w:lang w:eastAsia="fr-FR"/>
              </w:rPr>
              <w:t>5.</w:t>
            </w:r>
            <w:r>
              <w:rPr>
                <w:rFonts w:eastAsia="Times New Roman" w:cs="Calibri"/>
                <w:b/>
                <w:sz w:val="24"/>
                <w:szCs w:val="24"/>
                <w:u w:val="single"/>
                <w:lang w:eastAsia="fr-FR"/>
              </w:rPr>
              <w:t xml:space="preserve"> </w:t>
            </w:r>
            <w:r w:rsidR="00E76C97" w:rsidRPr="00496EE6">
              <w:rPr>
                <w:rFonts w:eastAsia="Times New Roman" w:cs="Calibri"/>
                <w:b/>
                <w:sz w:val="24"/>
                <w:szCs w:val="24"/>
                <w:u w:val="single"/>
                <w:lang w:eastAsia="fr-FR"/>
              </w:rPr>
              <w:t xml:space="preserve">Organisation des entraînements </w:t>
            </w:r>
            <w:r w:rsidR="00840980">
              <w:rPr>
                <w:rFonts w:eastAsia="Times New Roman" w:cs="Calibri"/>
                <w:b/>
                <w:sz w:val="24"/>
                <w:szCs w:val="24"/>
                <w:u w:val="single"/>
                <w:lang w:eastAsia="fr-FR"/>
              </w:rPr>
              <w:t>des épreuves d’admission</w:t>
            </w:r>
          </w:p>
          <w:p w14:paraId="0218E9AE" w14:textId="77777777" w:rsidR="00E76C97" w:rsidRPr="00496EE6" w:rsidRDefault="00E76C97"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p>
          <w:p w14:paraId="10C977FA" w14:textId="77777777" w:rsidR="00840980" w:rsidRDefault="00840980"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Coordination des sujets pour le Grand oral</w:t>
            </w:r>
          </w:p>
          <w:p w14:paraId="1C0C7B68" w14:textId="77777777" w:rsidR="0071696C" w:rsidRDefault="0071696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Organisation </w:t>
            </w:r>
            <w:r w:rsidR="005E455C">
              <w:rPr>
                <w:rFonts w:eastAsia="Times New Roman" w:cs="Calibri"/>
                <w:sz w:val="24"/>
                <w:szCs w:val="24"/>
                <w:lang w:eastAsia="fr-FR"/>
              </w:rPr>
              <w:t xml:space="preserve">et animation </w:t>
            </w:r>
            <w:r>
              <w:rPr>
                <w:rFonts w:eastAsia="Times New Roman" w:cs="Calibri"/>
                <w:sz w:val="24"/>
                <w:szCs w:val="24"/>
                <w:lang w:eastAsia="fr-FR"/>
              </w:rPr>
              <w:t xml:space="preserve">de </w:t>
            </w:r>
            <w:r w:rsidR="00897A6B">
              <w:rPr>
                <w:rFonts w:eastAsia="Times New Roman" w:cs="Calibri"/>
                <w:sz w:val="24"/>
                <w:szCs w:val="24"/>
                <w:lang w:eastAsia="fr-FR"/>
              </w:rPr>
              <w:t>khôlles</w:t>
            </w:r>
            <w:r>
              <w:rPr>
                <w:rFonts w:eastAsia="Times New Roman" w:cs="Calibri"/>
                <w:sz w:val="24"/>
                <w:szCs w:val="24"/>
                <w:lang w:eastAsia="fr-FR"/>
              </w:rPr>
              <w:t xml:space="preserve"> de culture générale</w:t>
            </w:r>
          </w:p>
          <w:p w14:paraId="25E6F723" w14:textId="77777777" w:rsidR="00897A6B" w:rsidRDefault="00897A6B"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Organisation et animation des entrainements en anglais</w:t>
            </w:r>
          </w:p>
          <w:p w14:paraId="28A3AF97" w14:textId="77777777" w:rsidR="006F7256" w:rsidRDefault="00004FCC"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sidRPr="00496EE6">
              <w:rPr>
                <w:rFonts w:eastAsia="Times New Roman" w:cs="Calibri"/>
                <w:sz w:val="24"/>
                <w:szCs w:val="24"/>
                <w:lang w:eastAsia="fr-FR"/>
              </w:rPr>
              <w:t xml:space="preserve">- Élaboration et organisation du planning de passage des étudiants et des intervenants </w:t>
            </w:r>
            <w:r>
              <w:rPr>
                <w:rFonts w:eastAsia="Times New Roman" w:cs="Calibri"/>
                <w:sz w:val="24"/>
                <w:szCs w:val="24"/>
                <w:lang w:eastAsia="fr-FR"/>
              </w:rPr>
              <w:t>pour l’épreuve de Grand oral et pour les oraux techniques</w:t>
            </w:r>
          </w:p>
          <w:p w14:paraId="2A93FE56" w14:textId="77777777" w:rsidR="006F7256" w:rsidRDefault="006F725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p>
          <w:p w14:paraId="0A90F1DA" w14:textId="77777777" w:rsidR="00E76C97" w:rsidRPr="006F7256" w:rsidRDefault="006F725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sidRPr="006F7256">
              <w:rPr>
                <w:rFonts w:eastAsia="Times New Roman" w:cs="Calibri"/>
                <w:b/>
                <w:bCs/>
                <w:sz w:val="24"/>
                <w:szCs w:val="24"/>
                <w:lang w:eastAsia="fr-FR"/>
              </w:rPr>
              <w:t xml:space="preserve">6. </w:t>
            </w:r>
            <w:r w:rsidR="00843BAF">
              <w:rPr>
                <w:rFonts w:eastAsia="Times New Roman" w:cs="Calibri"/>
                <w:b/>
                <w:sz w:val="24"/>
                <w:szCs w:val="24"/>
                <w:u w:val="single"/>
                <w:lang w:eastAsia="fr-FR"/>
              </w:rPr>
              <w:t xml:space="preserve">Relations avec les </w:t>
            </w:r>
            <w:proofErr w:type="spellStart"/>
            <w:r w:rsidR="00843BAF">
              <w:rPr>
                <w:rFonts w:eastAsia="Times New Roman" w:cs="Calibri"/>
                <w:b/>
                <w:sz w:val="24"/>
                <w:szCs w:val="24"/>
                <w:u w:val="single"/>
                <w:lang w:eastAsia="fr-FR"/>
              </w:rPr>
              <w:t>alumnis</w:t>
            </w:r>
            <w:proofErr w:type="spellEnd"/>
            <w:r w:rsidR="00843BAF">
              <w:rPr>
                <w:rFonts w:eastAsia="Times New Roman" w:cs="Calibri"/>
                <w:b/>
                <w:sz w:val="24"/>
                <w:szCs w:val="24"/>
                <w:u w:val="single"/>
                <w:lang w:eastAsia="fr-FR"/>
              </w:rPr>
              <w:t xml:space="preserve"> et l’ENM</w:t>
            </w:r>
          </w:p>
          <w:p w14:paraId="759AEC0B" w14:textId="77777777" w:rsidR="00E76C97" w:rsidRDefault="00E76C97"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p>
          <w:p w14:paraId="535E5682" w14:textId="77777777" w:rsidR="00991186" w:rsidRPr="00496EE6" w:rsidRDefault="00991186" w:rsidP="00B317BD">
            <w:pPr>
              <w:pStyle w:val="Paragraphedeliste"/>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alibri"/>
                <w:sz w:val="24"/>
                <w:szCs w:val="24"/>
                <w:lang w:eastAsia="fr-FR"/>
              </w:rPr>
            </w:pPr>
            <w:r w:rsidRPr="00496EE6">
              <w:rPr>
                <w:rFonts w:cs="Calibri"/>
              </w:rPr>
              <w:t>Sous la responsabilité de la Directrice</w:t>
            </w:r>
            <w:r>
              <w:rPr>
                <w:rFonts w:cs="Calibri"/>
              </w:rPr>
              <w:t xml:space="preserve"> adjointe en charge du pôle ENM : </w:t>
            </w:r>
          </w:p>
          <w:p w14:paraId="6529A472" w14:textId="77777777" w:rsidR="00E76C97" w:rsidRPr="00496EE6" w:rsidRDefault="00B9361A"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00E76C97" w:rsidRPr="00496EE6">
              <w:rPr>
                <w:rFonts w:eastAsia="Times New Roman" w:cs="Calibri"/>
                <w:sz w:val="24"/>
                <w:szCs w:val="24"/>
                <w:lang w:eastAsia="fr-FR"/>
              </w:rPr>
              <w:t xml:space="preserve">Relations avec les admis et les anciens de la prépa ENM. </w:t>
            </w:r>
          </w:p>
          <w:p w14:paraId="0996A6D9" w14:textId="77777777" w:rsidR="00E76C97" w:rsidRPr="00496EE6" w:rsidRDefault="00B9361A"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 xml:space="preserve">- </w:t>
            </w:r>
            <w:r w:rsidR="00E76C97" w:rsidRPr="00496EE6">
              <w:rPr>
                <w:rFonts w:eastAsia="Times New Roman" w:cs="Calibri"/>
                <w:sz w:val="24"/>
                <w:szCs w:val="24"/>
                <w:lang w:eastAsia="fr-FR"/>
              </w:rPr>
              <w:t>Animation d'un réseau des anciens, et mise en relation avec les inscrits à la prépa ENM.</w:t>
            </w:r>
          </w:p>
          <w:p w14:paraId="738B88DA" w14:textId="77777777" w:rsidR="00991186" w:rsidRDefault="00991186"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r>
              <w:rPr>
                <w:rFonts w:eastAsia="Times New Roman" w:cs="Calibri"/>
                <w:sz w:val="24"/>
                <w:szCs w:val="24"/>
                <w:lang w:eastAsia="fr-FR"/>
              </w:rPr>
              <w:t>Relations avec l’ENM</w:t>
            </w:r>
          </w:p>
          <w:p w14:paraId="4B0E11F9" w14:textId="77777777" w:rsidR="00E76C97" w:rsidRPr="00496EE6" w:rsidRDefault="00E76C97" w:rsidP="00B317BD">
            <w:pPr>
              <w:tabs>
                <w:tab w:val="left" w:pos="916"/>
                <w:tab w:val="left" w:pos="1832"/>
                <w:tab w:val="left" w:pos="2748"/>
                <w:tab w:val="left" w:pos="3664"/>
                <w:tab w:val="left" w:pos="4580"/>
                <w:tab w:val="left" w:pos="6412"/>
                <w:tab w:val="left" w:pos="7328"/>
                <w:tab w:val="left" w:pos="8244"/>
                <w:tab w:val="left" w:pos="9072"/>
                <w:tab w:val="left" w:pos="9160"/>
                <w:tab w:val="left" w:pos="10076"/>
                <w:tab w:val="left" w:pos="10992"/>
                <w:tab w:val="left" w:pos="11908"/>
                <w:tab w:val="left" w:pos="12824"/>
                <w:tab w:val="left" w:pos="13740"/>
                <w:tab w:val="left" w:pos="14656"/>
              </w:tabs>
              <w:spacing w:after="0" w:line="240" w:lineRule="auto"/>
              <w:jc w:val="both"/>
              <w:rPr>
                <w:rFonts w:eastAsia="Times New Roman" w:cs="Calibri"/>
                <w:sz w:val="24"/>
                <w:szCs w:val="24"/>
                <w:lang w:eastAsia="fr-FR"/>
              </w:rPr>
            </w:pPr>
          </w:p>
          <w:p w14:paraId="75D4642E" w14:textId="77777777" w:rsidR="003F05EF" w:rsidRPr="00496EE6" w:rsidRDefault="003F05EF" w:rsidP="00B317BD">
            <w:pPr>
              <w:autoSpaceDE w:val="0"/>
              <w:autoSpaceDN w:val="0"/>
              <w:adjustRightInd w:val="0"/>
              <w:spacing w:after="0" w:line="240" w:lineRule="auto"/>
              <w:rPr>
                <w:rFonts w:cs="Calibri"/>
                <w:b/>
                <w:bCs/>
                <w:sz w:val="24"/>
                <w:szCs w:val="24"/>
                <w:lang w:eastAsia="fr-FR"/>
              </w:rPr>
            </w:pPr>
            <w:r w:rsidRPr="00496EE6">
              <w:rPr>
                <w:rFonts w:cs="Calibri"/>
                <w:b/>
                <w:bCs/>
                <w:sz w:val="24"/>
                <w:szCs w:val="24"/>
                <w:lang w:eastAsia="fr-FR"/>
              </w:rPr>
              <w:t>COMPETENCES :</w:t>
            </w:r>
          </w:p>
          <w:p w14:paraId="70143A09" w14:textId="77777777" w:rsidR="009A0049" w:rsidRDefault="003F05EF" w:rsidP="00B317BD">
            <w:pPr>
              <w:autoSpaceDE w:val="0"/>
              <w:autoSpaceDN w:val="0"/>
              <w:adjustRightInd w:val="0"/>
              <w:spacing w:after="0" w:line="240" w:lineRule="auto"/>
              <w:rPr>
                <w:rFonts w:cs="Calibri"/>
                <w:sz w:val="24"/>
                <w:szCs w:val="24"/>
                <w:lang w:eastAsia="fr-FR"/>
              </w:rPr>
            </w:pPr>
            <w:r w:rsidRPr="00496EE6">
              <w:rPr>
                <w:rFonts w:cs="Calibri"/>
                <w:sz w:val="24"/>
                <w:szCs w:val="24"/>
                <w:lang w:eastAsia="fr-FR"/>
              </w:rPr>
              <w:t xml:space="preserve">- </w:t>
            </w:r>
            <w:r w:rsidR="009A0049">
              <w:rPr>
                <w:rFonts w:cs="Calibri"/>
                <w:sz w:val="24"/>
                <w:szCs w:val="24"/>
                <w:lang w:eastAsia="fr-FR"/>
              </w:rPr>
              <w:t>Connaitre de façon approfondie les 1</w:t>
            </w:r>
            <w:r w:rsidR="009A0049" w:rsidRPr="009A0049">
              <w:rPr>
                <w:rFonts w:cs="Calibri"/>
                <w:sz w:val="24"/>
                <w:szCs w:val="24"/>
                <w:vertAlign w:val="superscript"/>
                <w:lang w:eastAsia="fr-FR"/>
              </w:rPr>
              <w:t>er</w:t>
            </w:r>
            <w:r w:rsidR="009A0049">
              <w:rPr>
                <w:rFonts w:cs="Calibri"/>
                <w:sz w:val="24"/>
                <w:szCs w:val="24"/>
                <w:lang w:eastAsia="fr-FR"/>
              </w:rPr>
              <w:t>, 2</w:t>
            </w:r>
            <w:r w:rsidR="009A0049" w:rsidRPr="009A0049">
              <w:rPr>
                <w:rFonts w:cs="Calibri"/>
                <w:sz w:val="24"/>
                <w:szCs w:val="24"/>
                <w:vertAlign w:val="superscript"/>
                <w:lang w:eastAsia="fr-FR"/>
              </w:rPr>
              <w:t>ème</w:t>
            </w:r>
            <w:r w:rsidR="009A0049">
              <w:rPr>
                <w:rFonts w:cs="Calibri"/>
                <w:sz w:val="24"/>
                <w:szCs w:val="24"/>
                <w:lang w:eastAsia="fr-FR"/>
              </w:rPr>
              <w:t>, et 3</w:t>
            </w:r>
            <w:r w:rsidR="009A0049" w:rsidRPr="009A0049">
              <w:rPr>
                <w:rFonts w:cs="Calibri"/>
                <w:sz w:val="24"/>
                <w:szCs w:val="24"/>
                <w:vertAlign w:val="superscript"/>
                <w:lang w:eastAsia="fr-FR"/>
              </w:rPr>
              <w:t>ème</w:t>
            </w:r>
            <w:r w:rsidR="009A0049">
              <w:rPr>
                <w:rFonts w:cs="Calibri"/>
                <w:sz w:val="24"/>
                <w:szCs w:val="24"/>
                <w:lang w:eastAsia="fr-FR"/>
              </w:rPr>
              <w:t xml:space="preserve"> </w:t>
            </w:r>
            <w:r w:rsidR="00C658E1">
              <w:rPr>
                <w:rFonts w:cs="Calibri"/>
                <w:sz w:val="24"/>
                <w:szCs w:val="24"/>
                <w:lang w:eastAsia="fr-FR"/>
              </w:rPr>
              <w:t xml:space="preserve">les attendus des </w:t>
            </w:r>
            <w:r w:rsidR="009A0049">
              <w:rPr>
                <w:rFonts w:cs="Calibri"/>
                <w:sz w:val="24"/>
                <w:szCs w:val="24"/>
                <w:lang w:eastAsia="fr-FR"/>
              </w:rPr>
              <w:t xml:space="preserve">concours de l’ENM, </w:t>
            </w:r>
            <w:r w:rsidR="00C658E1">
              <w:rPr>
                <w:rFonts w:cs="Calibri"/>
                <w:sz w:val="24"/>
                <w:szCs w:val="24"/>
                <w:lang w:eastAsia="fr-FR"/>
              </w:rPr>
              <w:t xml:space="preserve">tant sur le fond que sur la méthode, </w:t>
            </w:r>
            <w:r w:rsidR="009A0049">
              <w:rPr>
                <w:rFonts w:cs="Calibri"/>
                <w:sz w:val="24"/>
                <w:szCs w:val="24"/>
                <w:lang w:eastAsia="fr-FR"/>
              </w:rPr>
              <w:t>et en particulier</w:t>
            </w:r>
            <w:r w:rsidR="00C658E1">
              <w:rPr>
                <w:rFonts w:cs="Calibri"/>
                <w:sz w:val="24"/>
                <w:szCs w:val="24"/>
                <w:lang w:eastAsia="fr-FR"/>
              </w:rPr>
              <w:t xml:space="preserve"> pour les</w:t>
            </w:r>
            <w:r w:rsidR="009A0049">
              <w:rPr>
                <w:rFonts w:cs="Calibri"/>
                <w:sz w:val="24"/>
                <w:szCs w:val="24"/>
                <w:lang w:eastAsia="fr-FR"/>
              </w:rPr>
              <w:t xml:space="preserve"> épreuves de CCMC et </w:t>
            </w:r>
            <w:proofErr w:type="spellStart"/>
            <w:r w:rsidR="009A0049">
              <w:rPr>
                <w:rFonts w:cs="Calibri"/>
                <w:sz w:val="24"/>
                <w:szCs w:val="24"/>
                <w:lang w:eastAsia="fr-FR"/>
              </w:rPr>
              <w:t>NdS</w:t>
            </w:r>
            <w:proofErr w:type="spellEnd"/>
          </w:p>
          <w:p w14:paraId="530358E4" w14:textId="77777777" w:rsidR="00C658E1" w:rsidRDefault="009A0049" w:rsidP="00B317BD">
            <w:pPr>
              <w:autoSpaceDE w:val="0"/>
              <w:autoSpaceDN w:val="0"/>
              <w:adjustRightInd w:val="0"/>
              <w:spacing w:after="0" w:line="240" w:lineRule="auto"/>
              <w:rPr>
                <w:rFonts w:eastAsia="Times New Roman" w:cs="Calibri"/>
                <w:bCs/>
                <w:sz w:val="24"/>
                <w:szCs w:val="24"/>
                <w:lang w:eastAsia="fr-FR"/>
              </w:rPr>
            </w:pPr>
            <w:r>
              <w:rPr>
                <w:rFonts w:cs="Calibri"/>
                <w:sz w:val="24"/>
                <w:szCs w:val="24"/>
                <w:lang w:eastAsia="fr-FR"/>
              </w:rPr>
              <w:t xml:space="preserve">- Avoir des connaissances approfondies </w:t>
            </w:r>
            <w:r w:rsidR="00C658E1">
              <w:rPr>
                <w:rFonts w:cs="Calibri"/>
                <w:sz w:val="24"/>
                <w:szCs w:val="24"/>
                <w:lang w:eastAsia="fr-FR"/>
              </w:rPr>
              <w:t xml:space="preserve">et les méthodes pour assurer les enseignements </w:t>
            </w:r>
            <w:r w:rsidR="00AF277F">
              <w:rPr>
                <w:rFonts w:cs="Calibri"/>
                <w:sz w:val="24"/>
                <w:szCs w:val="24"/>
                <w:lang w:eastAsia="fr-FR"/>
              </w:rPr>
              <w:t xml:space="preserve">de </w:t>
            </w:r>
            <w:r w:rsidR="00AF277F" w:rsidRPr="001E1B92">
              <w:rPr>
                <w:rFonts w:eastAsia="Times New Roman" w:cs="Calibri"/>
                <w:bCs/>
                <w:sz w:val="24"/>
                <w:szCs w:val="24"/>
                <w:lang w:eastAsia="fr-FR"/>
              </w:rPr>
              <w:t>« Connaissance et compréhension du monde contemporain », « Note de synthèse » et « anglais »</w:t>
            </w:r>
            <w:r w:rsidR="00AF277F">
              <w:rPr>
                <w:rFonts w:eastAsia="Times New Roman" w:cs="Calibri"/>
                <w:bCs/>
                <w:sz w:val="24"/>
                <w:szCs w:val="24"/>
                <w:lang w:eastAsia="fr-FR"/>
              </w:rPr>
              <w:t> </w:t>
            </w:r>
          </w:p>
          <w:p w14:paraId="4275F2C7" w14:textId="77777777" w:rsidR="00AF277F" w:rsidRDefault="00AF277F" w:rsidP="00B317BD">
            <w:pPr>
              <w:autoSpaceDE w:val="0"/>
              <w:autoSpaceDN w:val="0"/>
              <w:adjustRightInd w:val="0"/>
              <w:spacing w:after="0" w:line="240" w:lineRule="auto"/>
              <w:rPr>
                <w:rFonts w:cs="Calibri"/>
                <w:sz w:val="24"/>
                <w:szCs w:val="24"/>
                <w:lang w:eastAsia="fr-FR"/>
              </w:rPr>
            </w:pPr>
            <w:r>
              <w:rPr>
                <w:rFonts w:eastAsia="Times New Roman" w:cs="Calibri"/>
                <w:bCs/>
                <w:sz w:val="24"/>
                <w:szCs w:val="24"/>
                <w:lang w:eastAsia="fr-FR"/>
              </w:rPr>
              <w:t xml:space="preserve">- Avoir une expérience </w:t>
            </w:r>
            <w:r w:rsidR="00B9361A">
              <w:rPr>
                <w:rFonts w:eastAsia="Times New Roman" w:cs="Calibri"/>
                <w:bCs/>
                <w:sz w:val="24"/>
                <w:szCs w:val="24"/>
                <w:lang w:eastAsia="fr-FR"/>
              </w:rPr>
              <w:t xml:space="preserve">significative </w:t>
            </w:r>
            <w:r>
              <w:rPr>
                <w:rFonts w:eastAsia="Times New Roman" w:cs="Calibri"/>
                <w:bCs/>
                <w:sz w:val="24"/>
                <w:szCs w:val="24"/>
                <w:lang w:eastAsia="fr-FR"/>
              </w:rPr>
              <w:t xml:space="preserve">de l’enseignement en classe préparatoire. </w:t>
            </w:r>
          </w:p>
          <w:p w14:paraId="41EF8EDD" w14:textId="77777777" w:rsidR="003F05EF" w:rsidRPr="00496EE6" w:rsidRDefault="009A0049" w:rsidP="00B317BD">
            <w:pPr>
              <w:autoSpaceDE w:val="0"/>
              <w:autoSpaceDN w:val="0"/>
              <w:adjustRightInd w:val="0"/>
              <w:spacing w:after="0" w:line="240" w:lineRule="auto"/>
              <w:rPr>
                <w:rFonts w:cs="Calibri"/>
                <w:sz w:val="24"/>
                <w:szCs w:val="24"/>
                <w:lang w:eastAsia="fr-FR"/>
              </w:rPr>
            </w:pPr>
            <w:r>
              <w:rPr>
                <w:rFonts w:cs="Calibri"/>
                <w:sz w:val="24"/>
                <w:szCs w:val="24"/>
                <w:lang w:eastAsia="fr-FR"/>
              </w:rPr>
              <w:t>- T</w:t>
            </w:r>
            <w:r w:rsidR="003F05EF" w:rsidRPr="00496EE6">
              <w:rPr>
                <w:rFonts w:cs="Calibri"/>
                <w:sz w:val="24"/>
                <w:szCs w:val="24"/>
                <w:lang w:eastAsia="fr-FR"/>
              </w:rPr>
              <w:t>ravailler efficacement en équipe et de s’adapter rapidement à un nouve</w:t>
            </w:r>
            <w:r w:rsidR="0095183A" w:rsidRPr="00496EE6">
              <w:rPr>
                <w:rFonts w:cs="Calibri"/>
                <w:sz w:val="24"/>
                <w:szCs w:val="24"/>
                <w:lang w:eastAsia="fr-FR"/>
              </w:rPr>
              <w:t xml:space="preserve">l </w:t>
            </w:r>
            <w:r w:rsidR="003F05EF" w:rsidRPr="00496EE6">
              <w:rPr>
                <w:rFonts w:cs="Calibri"/>
                <w:sz w:val="24"/>
                <w:szCs w:val="24"/>
                <w:lang w:eastAsia="fr-FR"/>
              </w:rPr>
              <w:t>environnement de travail et à des tâches variées.</w:t>
            </w:r>
          </w:p>
          <w:p w14:paraId="1E489492" w14:textId="77777777" w:rsidR="003979C8" w:rsidRPr="00496EE6" w:rsidRDefault="003F05EF" w:rsidP="00B317BD">
            <w:pPr>
              <w:autoSpaceDE w:val="0"/>
              <w:autoSpaceDN w:val="0"/>
              <w:adjustRightInd w:val="0"/>
              <w:spacing w:after="0" w:line="240" w:lineRule="auto"/>
              <w:rPr>
                <w:rFonts w:cs="Calibri"/>
                <w:sz w:val="24"/>
                <w:szCs w:val="24"/>
                <w:lang w:eastAsia="fr-FR"/>
              </w:rPr>
            </w:pPr>
            <w:r w:rsidRPr="00496EE6">
              <w:rPr>
                <w:rFonts w:cs="Calibri"/>
                <w:sz w:val="24"/>
                <w:szCs w:val="24"/>
                <w:lang w:eastAsia="fr-FR"/>
              </w:rPr>
              <w:t xml:space="preserve">- </w:t>
            </w:r>
            <w:r w:rsidR="009A0049">
              <w:rPr>
                <w:rFonts w:cs="Calibri"/>
                <w:sz w:val="24"/>
                <w:szCs w:val="24"/>
                <w:lang w:eastAsia="fr-FR"/>
              </w:rPr>
              <w:t xml:space="preserve">Maitriser des outils </w:t>
            </w:r>
            <w:r w:rsidRPr="00496EE6">
              <w:rPr>
                <w:rFonts w:cs="Calibri"/>
                <w:sz w:val="24"/>
                <w:szCs w:val="24"/>
                <w:lang w:eastAsia="fr-FR"/>
              </w:rPr>
              <w:t>informatique</w:t>
            </w:r>
            <w:r w:rsidR="00843BAF">
              <w:rPr>
                <w:rFonts w:cs="Calibri"/>
                <w:sz w:val="24"/>
                <w:szCs w:val="24"/>
                <w:lang w:eastAsia="fr-FR"/>
              </w:rPr>
              <w:t>/numériques</w:t>
            </w:r>
            <w:r w:rsidRPr="00496EE6">
              <w:rPr>
                <w:rFonts w:cs="Calibri"/>
                <w:sz w:val="24"/>
                <w:szCs w:val="24"/>
                <w:lang w:eastAsia="fr-FR"/>
              </w:rPr>
              <w:t xml:space="preserve"> (Word, Excel, </w:t>
            </w:r>
            <w:r w:rsidR="00843BAF">
              <w:rPr>
                <w:rFonts w:cs="Calibri"/>
                <w:sz w:val="24"/>
                <w:szCs w:val="24"/>
                <w:lang w:eastAsia="fr-FR"/>
              </w:rPr>
              <w:t>logiciels d’enseignement à distance</w:t>
            </w:r>
            <w:r w:rsidRPr="00496EE6">
              <w:rPr>
                <w:rFonts w:cs="Calibri"/>
                <w:sz w:val="24"/>
                <w:szCs w:val="24"/>
                <w:lang w:eastAsia="fr-FR"/>
              </w:rPr>
              <w:t xml:space="preserve">…), </w:t>
            </w:r>
            <w:r w:rsidR="00843BAF">
              <w:rPr>
                <w:rFonts w:cs="Calibri"/>
                <w:sz w:val="24"/>
                <w:szCs w:val="24"/>
                <w:lang w:eastAsia="fr-FR"/>
              </w:rPr>
              <w:t xml:space="preserve">et capacité à </w:t>
            </w:r>
            <w:r w:rsidRPr="00496EE6">
              <w:rPr>
                <w:rFonts w:cs="Calibri"/>
                <w:sz w:val="24"/>
                <w:szCs w:val="24"/>
                <w:lang w:eastAsia="fr-FR"/>
              </w:rPr>
              <w:t>s’adapter rapidement à</w:t>
            </w:r>
            <w:r w:rsidR="00843BAF">
              <w:rPr>
                <w:rFonts w:cs="Calibri"/>
                <w:sz w:val="24"/>
                <w:szCs w:val="24"/>
                <w:lang w:eastAsia="fr-FR"/>
              </w:rPr>
              <w:t xml:space="preserve"> </w:t>
            </w:r>
            <w:r w:rsidRPr="00496EE6">
              <w:rPr>
                <w:rFonts w:cs="Calibri"/>
                <w:sz w:val="24"/>
                <w:szCs w:val="24"/>
                <w:lang w:eastAsia="fr-FR"/>
              </w:rPr>
              <w:t>de nouveaux outils auxquels</w:t>
            </w:r>
            <w:r w:rsidR="00843BAF">
              <w:rPr>
                <w:rFonts w:cs="Calibri"/>
                <w:sz w:val="24"/>
                <w:szCs w:val="24"/>
                <w:lang w:eastAsia="fr-FR"/>
              </w:rPr>
              <w:t xml:space="preserve"> la personne recrutée</w:t>
            </w:r>
            <w:r w:rsidRPr="00496EE6">
              <w:rPr>
                <w:rFonts w:cs="Calibri"/>
                <w:sz w:val="24"/>
                <w:szCs w:val="24"/>
                <w:lang w:eastAsia="fr-FR"/>
              </w:rPr>
              <w:t xml:space="preserve"> pourra être formée en fonction des besoins</w:t>
            </w:r>
            <w:r w:rsidR="00843BAF">
              <w:rPr>
                <w:rFonts w:cs="Calibri"/>
                <w:sz w:val="24"/>
                <w:szCs w:val="24"/>
                <w:lang w:eastAsia="fr-FR"/>
              </w:rPr>
              <w:t xml:space="preserve">. </w:t>
            </w:r>
          </w:p>
        </w:tc>
      </w:tr>
    </w:tbl>
    <w:p w14:paraId="63415698" w14:textId="77777777" w:rsidR="00025C54" w:rsidRDefault="00025C54" w:rsidP="00B317BD">
      <w:pPr>
        <w:spacing w:line="240" w:lineRule="auto"/>
        <w:contextualSpacing/>
        <w:rPr>
          <w:rFonts w:ascii="Times New Roman" w:hAnsi="Times New Roman"/>
        </w:rPr>
      </w:pPr>
    </w:p>
    <w:p w14:paraId="5CA3F3A9" w14:textId="77777777" w:rsidR="003979C8" w:rsidRDefault="003979C8" w:rsidP="00B317BD">
      <w:pPr>
        <w:spacing w:line="240" w:lineRule="auto"/>
        <w:contextualSpacing/>
        <w:rPr>
          <w:rFonts w:ascii="Times New Roman" w:hAnsi="Times New Roman"/>
        </w:rPr>
      </w:pPr>
    </w:p>
    <w:tbl>
      <w:tblPr>
        <w:tblW w:w="10819" w:type="dxa"/>
        <w:tblInd w:w="-660" w:type="dxa"/>
        <w:tblLayout w:type="fixed"/>
        <w:tblCellMar>
          <w:left w:w="70" w:type="dxa"/>
          <w:right w:w="70" w:type="dxa"/>
        </w:tblCellMar>
        <w:tblLook w:val="0000" w:firstRow="0" w:lastRow="0" w:firstColumn="0" w:lastColumn="0" w:noHBand="0" w:noVBand="0"/>
      </w:tblPr>
      <w:tblGrid>
        <w:gridCol w:w="10809"/>
        <w:gridCol w:w="10"/>
      </w:tblGrid>
      <w:tr w:rsidR="003979C8" w:rsidRPr="003979C8" w14:paraId="7397AD9B" w14:textId="77777777">
        <w:tc>
          <w:tcPr>
            <w:tcW w:w="10819" w:type="dxa"/>
            <w:gridSpan w:val="2"/>
            <w:tcBorders>
              <w:top w:val="single" w:sz="6" w:space="0" w:color="000000"/>
              <w:left w:val="single" w:sz="6" w:space="0" w:color="000000"/>
              <w:bottom w:val="single" w:sz="4" w:space="0" w:color="000000"/>
              <w:right w:val="single" w:sz="6" w:space="0" w:color="000000"/>
            </w:tcBorders>
            <w:shd w:val="clear" w:color="auto" w:fill="auto"/>
          </w:tcPr>
          <w:p w14:paraId="18C7908F" w14:textId="77777777" w:rsidR="003979C8" w:rsidRDefault="003979C8" w:rsidP="003979C8">
            <w:pPr>
              <w:spacing w:after="0" w:line="240" w:lineRule="auto"/>
              <w:jc w:val="both"/>
              <w:rPr>
                <w:rFonts w:ascii="Arial" w:hAnsi="Arial" w:cs="Arial"/>
                <w:color w:val="FF0000"/>
              </w:rPr>
            </w:pPr>
            <w:r w:rsidRPr="003979C8">
              <w:rPr>
                <w:rFonts w:ascii="Arial" w:hAnsi="Arial" w:cs="Arial"/>
                <w:b/>
                <w:bCs/>
                <w:color w:val="FF0000"/>
                <w:u w:val="single"/>
              </w:rPr>
              <w:t>Conditions d’embauche</w:t>
            </w:r>
            <w:r w:rsidRPr="003979C8">
              <w:rPr>
                <w:rFonts w:ascii="Arial" w:hAnsi="Arial" w:cs="Arial"/>
                <w:b/>
                <w:bCs/>
                <w:color w:val="FF0000"/>
              </w:rPr>
              <w:t> </w:t>
            </w:r>
            <w:r w:rsidRPr="003979C8">
              <w:rPr>
                <w:rFonts w:ascii="Arial" w:hAnsi="Arial" w:cs="Arial"/>
                <w:color w:val="FF0000"/>
              </w:rPr>
              <w:t xml:space="preserve">: </w:t>
            </w:r>
          </w:p>
          <w:p w14:paraId="3B018296" w14:textId="77777777" w:rsidR="00025DB7" w:rsidRPr="00025DB7" w:rsidRDefault="00BB250B" w:rsidP="00025DB7">
            <w:pPr>
              <w:numPr>
                <w:ilvl w:val="0"/>
                <w:numId w:val="14"/>
              </w:numPr>
              <w:spacing w:after="0" w:line="240" w:lineRule="auto"/>
              <w:jc w:val="both"/>
              <w:rPr>
                <w:rFonts w:ascii="Arial" w:hAnsi="Arial" w:cs="Arial"/>
                <w:color w:val="FF0000"/>
              </w:rPr>
            </w:pPr>
            <w:r>
              <w:rPr>
                <w:rFonts w:ascii="Arial" w:hAnsi="Arial" w:cs="Arial"/>
                <w:color w:val="FF0000"/>
              </w:rPr>
              <w:t>Avoir une double formation académique solide en droit et sciences humaines</w:t>
            </w:r>
          </w:p>
          <w:p w14:paraId="43FB76A7" w14:textId="77777777" w:rsidR="003979C8" w:rsidRDefault="00BB250B" w:rsidP="003979C8">
            <w:pPr>
              <w:spacing w:after="0" w:line="240" w:lineRule="auto"/>
              <w:jc w:val="both"/>
              <w:rPr>
                <w:rFonts w:ascii="Arial" w:hAnsi="Arial" w:cs="Arial"/>
                <w:color w:val="FF0000"/>
              </w:rPr>
            </w:pPr>
            <w:r>
              <w:rPr>
                <w:rFonts w:ascii="Arial" w:hAnsi="Arial" w:cs="Arial"/>
                <w:color w:val="FF0000"/>
              </w:rPr>
              <w:t>En outre, l</w:t>
            </w:r>
            <w:r w:rsidR="003979C8" w:rsidRPr="003979C8">
              <w:rPr>
                <w:rFonts w:ascii="Arial" w:hAnsi="Arial" w:cs="Arial"/>
                <w:color w:val="FF0000"/>
              </w:rPr>
              <w:t>es candidat(e)s devront remplir l’</w:t>
            </w:r>
            <w:r w:rsidR="003979C8" w:rsidRPr="003979C8">
              <w:rPr>
                <w:rFonts w:ascii="Arial" w:hAnsi="Arial" w:cs="Arial"/>
                <w:b/>
                <w:bCs/>
                <w:color w:val="FF0000"/>
                <w:u w:val="single"/>
              </w:rPr>
              <w:t xml:space="preserve">une des trois </w:t>
            </w:r>
            <w:r w:rsidR="003979C8" w:rsidRPr="003979C8">
              <w:rPr>
                <w:rFonts w:ascii="Arial" w:hAnsi="Arial" w:cs="Arial"/>
                <w:color w:val="FF0000"/>
              </w:rPr>
              <w:t xml:space="preserve">conditions suivantes : </w:t>
            </w:r>
          </w:p>
          <w:p w14:paraId="2103CD6C" w14:textId="77777777" w:rsidR="005C2558" w:rsidRPr="003979C8" w:rsidRDefault="00025DB7" w:rsidP="003979C8">
            <w:pPr>
              <w:spacing w:after="0" w:line="240" w:lineRule="auto"/>
              <w:jc w:val="both"/>
              <w:rPr>
                <w:rFonts w:ascii="Arial" w:hAnsi="Arial" w:cs="Arial"/>
                <w:color w:val="FF0000"/>
              </w:rPr>
            </w:pPr>
            <w:r>
              <w:rPr>
                <w:rFonts w:ascii="Arial" w:hAnsi="Arial" w:cs="Arial"/>
                <w:color w:val="FF0000"/>
              </w:rPr>
              <w:t xml:space="preserve">- </w:t>
            </w:r>
            <w:r w:rsidR="005C2558">
              <w:rPr>
                <w:rFonts w:ascii="Arial" w:hAnsi="Arial" w:cs="Arial"/>
                <w:color w:val="FF0000"/>
              </w:rPr>
              <w:t xml:space="preserve">Avoir une </w:t>
            </w:r>
            <w:r w:rsidR="00BB250B">
              <w:rPr>
                <w:rFonts w:ascii="Arial" w:hAnsi="Arial" w:cs="Arial"/>
                <w:color w:val="FF0000"/>
              </w:rPr>
              <w:t xml:space="preserve">double </w:t>
            </w:r>
            <w:r w:rsidR="005C2558">
              <w:rPr>
                <w:rFonts w:ascii="Arial" w:hAnsi="Arial" w:cs="Arial"/>
                <w:color w:val="FF0000"/>
              </w:rPr>
              <w:t xml:space="preserve">formation académique solide en droit et </w:t>
            </w:r>
            <w:r w:rsidR="00BB250B">
              <w:rPr>
                <w:rFonts w:ascii="Arial" w:hAnsi="Arial" w:cs="Arial"/>
                <w:color w:val="FF0000"/>
              </w:rPr>
              <w:t>sciences humaines</w:t>
            </w:r>
          </w:p>
          <w:p w14:paraId="29EC592A" w14:textId="77777777" w:rsidR="003979C8" w:rsidRPr="003979C8" w:rsidRDefault="00025DB7" w:rsidP="003979C8">
            <w:pPr>
              <w:spacing w:after="0" w:line="240" w:lineRule="auto"/>
              <w:jc w:val="both"/>
              <w:rPr>
                <w:rFonts w:ascii="Arial" w:hAnsi="Arial" w:cs="Arial"/>
                <w:color w:val="FF0000"/>
              </w:rPr>
            </w:pPr>
            <w:r>
              <w:rPr>
                <w:rFonts w:ascii="Arial" w:hAnsi="Arial" w:cs="Arial"/>
                <w:color w:val="FF0000"/>
              </w:rPr>
              <w:t xml:space="preserve">- </w:t>
            </w:r>
            <w:r w:rsidR="003979C8" w:rsidRPr="003979C8">
              <w:rPr>
                <w:rFonts w:ascii="Arial" w:hAnsi="Arial" w:cs="Arial"/>
                <w:color w:val="FF0000"/>
              </w:rPr>
              <w:t xml:space="preserve">Ou bien être inscrit en thèse de doctorat à l’Université Paris 1 et ne bénéficier d’aucun type de financement à ce titre ; </w:t>
            </w:r>
          </w:p>
          <w:p w14:paraId="6B256B2F" w14:textId="77777777" w:rsidR="003979C8" w:rsidRPr="003979C8" w:rsidRDefault="003979C8" w:rsidP="003979C8">
            <w:pPr>
              <w:spacing w:after="0" w:line="240" w:lineRule="auto"/>
              <w:jc w:val="both"/>
              <w:rPr>
                <w:rFonts w:ascii="Arial" w:hAnsi="Arial" w:cs="Arial"/>
                <w:color w:val="FF0000"/>
              </w:rPr>
            </w:pPr>
            <w:r w:rsidRPr="003979C8">
              <w:rPr>
                <w:rFonts w:ascii="Arial" w:hAnsi="Arial" w:cs="Arial"/>
                <w:color w:val="FF0000"/>
              </w:rPr>
              <w:t>- Ou bien être élève avocat, actuellement inscrit dans un centre de formation à la profession d’avocat.</w:t>
            </w:r>
          </w:p>
          <w:p w14:paraId="158DDC7E" w14:textId="77777777" w:rsidR="003979C8" w:rsidRPr="003979C8" w:rsidRDefault="003979C8" w:rsidP="003979C8">
            <w:pPr>
              <w:spacing w:after="0" w:line="240" w:lineRule="auto"/>
              <w:jc w:val="both"/>
              <w:rPr>
                <w:rFonts w:ascii="Arial" w:hAnsi="Arial" w:cs="Arial"/>
                <w:color w:val="FF0000"/>
              </w:rPr>
            </w:pPr>
            <w:r w:rsidRPr="003979C8">
              <w:rPr>
                <w:rFonts w:ascii="Arial" w:hAnsi="Arial" w:cs="Arial"/>
                <w:color w:val="FF0000"/>
              </w:rPr>
              <w:t>- Ou bien exercer</w:t>
            </w:r>
            <w:r w:rsidR="00BB250B">
              <w:rPr>
                <w:rFonts w:ascii="Arial" w:hAnsi="Arial" w:cs="Arial"/>
                <w:color w:val="FF0000"/>
              </w:rPr>
              <w:t>, depuis plusieurs années,</w:t>
            </w:r>
            <w:r w:rsidRPr="003979C8">
              <w:rPr>
                <w:rFonts w:ascii="Arial" w:hAnsi="Arial" w:cs="Arial"/>
                <w:color w:val="FF0000"/>
              </w:rPr>
              <w:t xml:space="preserve"> une activité d’enseignement, de recherche ou d’expertise juridique.</w:t>
            </w:r>
          </w:p>
          <w:p w14:paraId="7E508F55" w14:textId="77777777" w:rsidR="003979C8" w:rsidRPr="003979C8" w:rsidRDefault="003979C8" w:rsidP="003979C8">
            <w:pPr>
              <w:spacing w:after="0" w:line="240" w:lineRule="auto"/>
              <w:jc w:val="both"/>
              <w:rPr>
                <w:color w:val="FF0000"/>
              </w:rPr>
            </w:pPr>
          </w:p>
        </w:tc>
      </w:tr>
      <w:tr w:rsidR="003979C8" w:rsidRPr="003979C8" w14:paraId="26BC70F9" w14:textId="77777777">
        <w:trPr>
          <w:gridAfter w:val="1"/>
          <w:wAfter w:w="10" w:type="dxa"/>
          <w:cantSplit/>
        </w:trPr>
        <w:tc>
          <w:tcPr>
            <w:tcW w:w="10809" w:type="dxa"/>
            <w:tcBorders>
              <w:top w:val="single" w:sz="4" w:space="0" w:color="000000"/>
              <w:left w:val="single" w:sz="4" w:space="0" w:color="000000"/>
              <w:bottom w:val="single" w:sz="4" w:space="0" w:color="000000"/>
              <w:right w:val="single" w:sz="4" w:space="0" w:color="000000"/>
            </w:tcBorders>
            <w:shd w:val="clear" w:color="auto" w:fill="auto"/>
          </w:tcPr>
          <w:p w14:paraId="1CEC0BB9" w14:textId="77777777" w:rsidR="003979C8" w:rsidRPr="003979C8" w:rsidRDefault="003979C8" w:rsidP="003979C8">
            <w:pPr>
              <w:spacing w:after="0" w:line="240" w:lineRule="auto"/>
              <w:jc w:val="both"/>
              <w:rPr>
                <w:rStyle w:val="hgkelc"/>
                <w:rFonts w:ascii="Arial" w:hAnsi="Arial" w:cs="Arial"/>
                <w:color w:val="FF0000"/>
              </w:rPr>
            </w:pPr>
            <w:r w:rsidRPr="003979C8">
              <w:rPr>
                <w:rFonts w:ascii="Arial" w:hAnsi="Arial" w:cs="Arial"/>
                <w:b/>
                <w:color w:val="FF0000"/>
                <w:u w:val="single"/>
              </w:rPr>
              <w:lastRenderedPageBreak/>
              <w:t>Rémunération</w:t>
            </w:r>
          </w:p>
          <w:p w14:paraId="268A67CA" w14:textId="77777777" w:rsidR="003979C8" w:rsidRPr="003979C8" w:rsidRDefault="003979C8" w:rsidP="00025DB7">
            <w:pPr>
              <w:spacing w:after="0" w:line="240" w:lineRule="auto"/>
              <w:jc w:val="both"/>
              <w:rPr>
                <w:color w:val="FF0000"/>
              </w:rPr>
            </w:pPr>
          </w:p>
        </w:tc>
      </w:tr>
      <w:tr w:rsidR="003979C8" w:rsidRPr="003979C8" w14:paraId="7F7AA2E4" w14:textId="77777777">
        <w:trPr>
          <w:gridAfter w:val="1"/>
          <w:wAfter w:w="10" w:type="dxa"/>
          <w:cantSplit/>
          <w:trHeight w:val="2761"/>
        </w:trPr>
        <w:tc>
          <w:tcPr>
            <w:tcW w:w="10809" w:type="dxa"/>
            <w:tcBorders>
              <w:top w:val="single" w:sz="4" w:space="0" w:color="000000"/>
              <w:left w:val="single" w:sz="4" w:space="0" w:color="000000"/>
              <w:bottom w:val="single" w:sz="4" w:space="0" w:color="000000"/>
              <w:right w:val="single" w:sz="4" w:space="0" w:color="000000"/>
            </w:tcBorders>
            <w:shd w:val="clear" w:color="auto" w:fill="auto"/>
          </w:tcPr>
          <w:p w14:paraId="2646C9F7" w14:textId="77777777" w:rsidR="003979C8" w:rsidRPr="003979C8" w:rsidRDefault="003979C8" w:rsidP="003979C8">
            <w:pPr>
              <w:spacing w:after="0"/>
              <w:jc w:val="both"/>
              <w:rPr>
                <w:rFonts w:ascii="Arial" w:hAnsi="Arial" w:cs="Arial"/>
                <w:color w:val="FF0000"/>
              </w:rPr>
            </w:pPr>
            <w:r w:rsidRPr="003979C8">
              <w:rPr>
                <w:rFonts w:ascii="Arial" w:hAnsi="Arial" w:cs="Arial"/>
                <w:b/>
                <w:color w:val="FF0000"/>
              </w:rPr>
              <w:t xml:space="preserve">Dossier de candidature (à adresser à </w:t>
            </w:r>
            <w:r w:rsidR="00FD30FA" w:rsidRPr="00FD30FA">
              <w:rPr>
                <w:rFonts w:ascii="Arial" w:hAnsi="Arial" w:cs="Arial"/>
                <w:b/>
                <w:color w:val="FF0000"/>
              </w:rPr>
              <w:t xml:space="preserve">Hakim </w:t>
            </w:r>
            <w:proofErr w:type="spellStart"/>
            <w:r w:rsidR="00FD30FA" w:rsidRPr="00FD30FA">
              <w:rPr>
                <w:rFonts w:ascii="Arial" w:hAnsi="Arial" w:cs="Arial"/>
                <w:b/>
                <w:color w:val="FF0000"/>
              </w:rPr>
              <w:t>Bouchikeir</w:t>
            </w:r>
            <w:proofErr w:type="spellEnd"/>
            <w:r w:rsidRPr="003979C8">
              <w:rPr>
                <w:rFonts w:ascii="Arial" w:hAnsi="Arial" w:cs="Arial"/>
                <w:b/>
                <w:color w:val="FF0000"/>
              </w:rPr>
              <w:t>, coordonnées ci-dessous)</w:t>
            </w:r>
            <w:r w:rsidRPr="003979C8">
              <w:rPr>
                <w:rFonts w:ascii="Arial" w:hAnsi="Arial" w:cs="Arial"/>
                <w:color w:val="FF0000"/>
              </w:rPr>
              <w:t xml:space="preserve"> : </w:t>
            </w:r>
          </w:p>
          <w:p w14:paraId="04BEC37A" w14:textId="77777777" w:rsidR="003979C8" w:rsidRPr="003979C8" w:rsidRDefault="003979C8" w:rsidP="003979C8">
            <w:pPr>
              <w:spacing w:after="0"/>
              <w:jc w:val="both"/>
              <w:rPr>
                <w:rFonts w:ascii="Arial" w:hAnsi="Arial" w:cs="Arial"/>
                <w:color w:val="FF0000"/>
              </w:rPr>
            </w:pPr>
          </w:p>
          <w:p w14:paraId="255DE262" w14:textId="77777777" w:rsidR="003979C8" w:rsidRPr="003979C8" w:rsidRDefault="003979C8" w:rsidP="003979C8">
            <w:pPr>
              <w:spacing w:after="0"/>
              <w:jc w:val="both"/>
              <w:rPr>
                <w:rFonts w:ascii="Arial" w:hAnsi="Arial" w:cs="Arial"/>
                <w:color w:val="FF0000"/>
              </w:rPr>
            </w:pPr>
            <w:r w:rsidRPr="003979C8">
              <w:rPr>
                <w:rFonts w:ascii="Arial" w:hAnsi="Arial" w:cs="Arial"/>
                <w:color w:val="FF0000"/>
              </w:rPr>
              <w:t xml:space="preserve">1. </w:t>
            </w:r>
            <w:bookmarkStart w:id="0" w:name="_Hlk104884459"/>
            <w:r w:rsidRPr="003979C8">
              <w:rPr>
                <w:rFonts w:ascii="Arial" w:hAnsi="Arial" w:cs="Arial"/>
                <w:color w:val="FF0000"/>
              </w:rPr>
              <w:t>Curriculum Vitæ ;</w:t>
            </w:r>
          </w:p>
          <w:p w14:paraId="1DC292E2" w14:textId="77777777" w:rsidR="003979C8" w:rsidRPr="003979C8" w:rsidRDefault="003979C8" w:rsidP="003979C8">
            <w:pPr>
              <w:spacing w:after="0"/>
              <w:jc w:val="both"/>
              <w:rPr>
                <w:rFonts w:ascii="Arial" w:hAnsi="Arial" w:cs="Arial"/>
                <w:color w:val="FF0000"/>
              </w:rPr>
            </w:pPr>
            <w:r w:rsidRPr="003979C8">
              <w:rPr>
                <w:rFonts w:ascii="Arial" w:hAnsi="Arial" w:cs="Arial"/>
                <w:color w:val="FF0000"/>
              </w:rPr>
              <w:t>2. Lettre de motivation adressée à Madame la présidente du Comité de sélection</w:t>
            </w:r>
            <w:bookmarkEnd w:id="0"/>
            <w:r w:rsidRPr="003979C8">
              <w:rPr>
                <w:rFonts w:ascii="Arial" w:hAnsi="Arial" w:cs="Arial"/>
                <w:color w:val="FF0000"/>
              </w:rPr>
              <w:t xml:space="preserve"> (sera précisé le volume horaire le plus approprié à leurs disponibilités, en tout cas inférieur à 96 HETD)</w:t>
            </w:r>
          </w:p>
          <w:p w14:paraId="4C89B44E" w14:textId="77777777" w:rsidR="003979C8" w:rsidRPr="003979C8" w:rsidRDefault="00025DB7" w:rsidP="003979C8">
            <w:pPr>
              <w:spacing w:after="0"/>
              <w:jc w:val="both"/>
              <w:rPr>
                <w:rFonts w:ascii="Arial" w:hAnsi="Arial" w:cs="Arial"/>
                <w:color w:val="FF0000"/>
              </w:rPr>
            </w:pPr>
            <w:r>
              <w:rPr>
                <w:rFonts w:ascii="Arial" w:hAnsi="Arial" w:cs="Arial"/>
                <w:color w:val="FF0000"/>
              </w:rPr>
              <w:t>3</w:t>
            </w:r>
            <w:r w:rsidR="003979C8" w:rsidRPr="003979C8">
              <w:rPr>
                <w:rFonts w:ascii="Arial" w:hAnsi="Arial" w:cs="Arial"/>
                <w:color w:val="FF0000"/>
              </w:rPr>
              <w:t>. Copie d'une pièce d'identité en cours de validité ;</w:t>
            </w:r>
          </w:p>
          <w:p w14:paraId="59D6E3C2" w14:textId="77777777" w:rsidR="003979C8" w:rsidRPr="003979C8" w:rsidRDefault="00025DB7" w:rsidP="003979C8">
            <w:pPr>
              <w:spacing w:after="0"/>
              <w:jc w:val="both"/>
              <w:rPr>
                <w:rFonts w:ascii="Arial" w:hAnsi="Arial" w:cs="Arial"/>
                <w:color w:val="FF0000"/>
              </w:rPr>
            </w:pPr>
            <w:r>
              <w:rPr>
                <w:rFonts w:ascii="Arial" w:hAnsi="Arial" w:cs="Arial"/>
                <w:color w:val="FF0000"/>
              </w:rPr>
              <w:t>4</w:t>
            </w:r>
            <w:r w:rsidR="003979C8" w:rsidRPr="003979C8">
              <w:rPr>
                <w:rFonts w:ascii="Arial" w:hAnsi="Arial" w:cs="Arial"/>
                <w:color w:val="FF0000"/>
              </w:rPr>
              <w:t>. Attestation d'inscription en doctorat à l’Université Paris 1, ou attestation d’inscription dans un centre de formation à la profession d’avocat, ou attestation activité d’enseignement, de recherche ou d’expertise juridique</w:t>
            </w:r>
          </w:p>
          <w:p w14:paraId="23EC77FF" w14:textId="77777777" w:rsidR="003979C8" w:rsidRPr="003979C8" w:rsidRDefault="00025DB7" w:rsidP="003979C8">
            <w:pPr>
              <w:spacing w:after="0"/>
              <w:jc w:val="both"/>
              <w:rPr>
                <w:rFonts w:ascii="Arial" w:hAnsi="Arial" w:cs="Arial"/>
                <w:color w:val="FF0000"/>
              </w:rPr>
            </w:pPr>
            <w:r>
              <w:rPr>
                <w:rFonts w:ascii="Arial" w:hAnsi="Arial" w:cs="Arial"/>
                <w:color w:val="FF0000"/>
              </w:rPr>
              <w:t>5</w:t>
            </w:r>
            <w:r w:rsidR="003979C8" w:rsidRPr="003979C8">
              <w:rPr>
                <w:rFonts w:ascii="Arial" w:hAnsi="Arial" w:cs="Arial"/>
                <w:color w:val="FF0000"/>
              </w:rPr>
              <w:t>. Carte vitale ou attestation d’affiliation à la Sécurité sociale</w:t>
            </w:r>
          </w:p>
          <w:p w14:paraId="41C44867" w14:textId="77777777" w:rsidR="003979C8" w:rsidRPr="003979C8" w:rsidRDefault="00025DB7" w:rsidP="003979C8">
            <w:pPr>
              <w:spacing w:after="0"/>
              <w:jc w:val="both"/>
              <w:rPr>
                <w:rFonts w:ascii="Arial" w:hAnsi="Arial" w:cs="Arial"/>
                <w:b/>
                <w:color w:val="FF0000"/>
                <w:sz w:val="20"/>
                <w:u w:val="single"/>
              </w:rPr>
            </w:pPr>
            <w:r>
              <w:rPr>
                <w:rFonts w:ascii="Arial" w:hAnsi="Arial" w:cs="Arial"/>
                <w:color w:val="FF0000"/>
              </w:rPr>
              <w:t>6</w:t>
            </w:r>
            <w:r w:rsidR="003979C8" w:rsidRPr="003979C8">
              <w:rPr>
                <w:rFonts w:ascii="Arial" w:hAnsi="Arial" w:cs="Arial"/>
                <w:color w:val="FF0000"/>
              </w:rPr>
              <w:t>. Relevé d’identité bancaire.</w:t>
            </w:r>
          </w:p>
          <w:p w14:paraId="221A7E4C" w14:textId="77777777" w:rsidR="003979C8" w:rsidRPr="003979C8" w:rsidRDefault="003979C8" w:rsidP="003979C8">
            <w:pPr>
              <w:spacing w:after="0"/>
              <w:jc w:val="both"/>
              <w:rPr>
                <w:rFonts w:ascii="Arial" w:hAnsi="Arial" w:cs="Arial"/>
                <w:b/>
                <w:color w:val="FF0000"/>
                <w:sz w:val="20"/>
                <w:u w:val="single"/>
              </w:rPr>
            </w:pPr>
          </w:p>
          <w:p w14:paraId="6D6BEC25" w14:textId="77777777" w:rsidR="003979C8" w:rsidRPr="003979C8" w:rsidRDefault="003979C8" w:rsidP="003979C8">
            <w:pPr>
              <w:spacing w:after="0"/>
              <w:jc w:val="both"/>
              <w:rPr>
                <w:rFonts w:ascii="Arial" w:hAnsi="Arial" w:cs="Arial"/>
                <w:color w:val="FF0000"/>
                <w:sz w:val="28"/>
                <w:szCs w:val="28"/>
              </w:rPr>
            </w:pPr>
            <w:r w:rsidRPr="003979C8">
              <w:rPr>
                <w:rFonts w:ascii="Arial" w:hAnsi="Arial" w:cs="Arial"/>
                <w:b/>
                <w:color w:val="FF0000"/>
                <w:sz w:val="28"/>
                <w:szCs w:val="28"/>
                <w:u w:val="single"/>
              </w:rPr>
              <w:t>Personne à contacter </w:t>
            </w:r>
            <w:r w:rsidRPr="003979C8">
              <w:rPr>
                <w:rFonts w:ascii="Arial" w:hAnsi="Arial" w:cs="Arial"/>
                <w:color w:val="FF0000"/>
                <w:sz w:val="28"/>
                <w:szCs w:val="28"/>
              </w:rPr>
              <w:t>:</w:t>
            </w:r>
          </w:p>
          <w:p w14:paraId="604F2CAB" w14:textId="77777777" w:rsidR="00BB250B" w:rsidRPr="003979C8" w:rsidRDefault="00BB250B" w:rsidP="00BB250B">
            <w:pPr>
              <w:spacing w:after="0"/>
              <w:jc w:val="both"/>
              <w:rPr>
                <w:rFonts w:ascii="Arial" w:hAnsi="Arial" w:cs="Arial"/>
                <w:color w:val="FF0000"/>
                <w:sz w:val="24"/>
                <w:szCs w:val="24"/>
              </w:rPr>
            </w:pPr>
          </w:p>
          <w:p w14:paraId="5871853F" w14:textId="77777777" w:rsidR="00BB250B" w:rsidRPr="00D052B7" w:rsidRDefault="00BB250B" w:rsidP="00BB250B">
            <w:pPr>
              <w:spacing w:after="0"/>
              <w:jc w:val="both"/>
              <w:rPr>
                <w:rFonts w:ascii="Arial" w:hAnsi="Arial" w:cs="Arial"/>
                <w:color w:val="FF0000"/>
                <w:sz w:val="24"/>
                <w:szCs w:val="24"/>
              </w:rPr>
            </w:pPr>
            <w:r w:rsidRPr="00D052B7">
              <w:rPr>
                <w:rFonts w:ascii="Arial" w:hAnsi="Arial" w:cs="Arial"/>
                <w:color w:val="FF0000"/>
                <w:sz w:val="24"/>
                <w:szCs w:val="24"/>
              </w:rPr>
              <w:t>M</w:t>
            </w:r>
            <w:r w:rsidR="00FD30FA">
              <w:rPr>
                <w:rFonts w:ascii="Arial" w:hAnsi="Arial" w:cs="Arial"/>
                <w:color w:val="FF0000"/>
                <w:sz w:val="24"/>
                <w:szCs w:val="24"/>
              </w:rPr>
              <w:t>.</w:t>
            </w:r>
            <w:r w:rsidRPr="00D052B7">
              <w:rPr>
                <w:rFonts w:ascii="Arial" w:hAnsi="Arial" w:cs="Arial"/>
                <w:color w:val="FF0000"/>
                <w:sz w:val="24"/>
                <w:szCs w:val="24"/>
              </w:rPr>
              <w:t xml:space="preserve"> Hakim </w:t>
            </w:r>
            <w:proofErr w:type="spellStart"/>
            <w:r w:rsidRPr="00D052B7">
              <w:rPr>
                <w:rFonts w:ascii="Arial" w:hAnsi="Arial" w:cs="Arial"/>
                <w:color w:val="FF0000"/>
                <w:sz w:val="24"/>
                <w:szCs w:val="24"/>
              </w:rPr>
              <w:t>Bouchikeir</w:t>
            </w:r>
            <w:proofErr w:type="spellEnd"/>
          </w:p>
          <w:p w14:paraId="161195A9" w14:textId="77777777" w:rsidR="00BB250B" w:rsidRPr="00D052B7" w:rsidRDefault="00BB250B" w:rsidP="00BB250B">
            <w:pPr>
              <w:spacing w:after="0"/>
              <w:jc w:val="both"/>
              <w:rPr>
                <w:rFonts w:ascii="Arial" w:hAnsi="Arial" w:cs="Arial"/>
                <w:color w:val="FF0000"/>
                <w:sz w:val="24"/>
                <w:szCs w:val="24"/>
              </w:rPr>
            </w:pPr>
            <w:r w:rsidRPr="00D052B7">
              <w:rPr>
                <w:rFonts w:ascii="Arial" w:hAnsi="Arial" w:cs="Arial"/>
                <w:color w:val="FF0000"/>
                <w:sz w:val="24"/>
                <w:szCs w:val="24"/>
              </w:rPr>
              <w:t>Responsable administratif de l’Institut d’Études Judiciaires de la Sorbonne (EDS)</w:t>
            </w:r>
          </w:p>
          <w:p w14:paraId="3BA72AB8" w14:textId="77777777" w:rsidR="00BB250B" w:rsidRPr="00D052B7" w:rsidRDefault="00BB250B" w:rsidP="00BB250B">
            <w:pPr>
              <w:spacing w:after="0"/>
              <w:jc w:val="both"/>
              <w:rPr>
                <w:rFonts w:ascii="Arial" w:hAnsi="Arial" w:cs="Arial"/>
                <w:color w:val="FF0000"/>
                <w:sz w:val="24"/>
                <w:szCs w:val="24"/>
              </w:rPr>
            </w:pPr>
            <w:hyperlink r:id="rId8" w:history="1">
              <w:r w:rsidRPr="00D052B7">
                <w:rPr>
                  <w:rStyle w:val="Lienhypertexte"/>
                  <w:rFonts w:ascii="Arial" w:hAnsi="Arial" w:cs="Arial"/>
                  <w:color w:val="FF0000"/>
                  <w:sz w:val="24"/>
                  <w:szCs w:val="24"/>
                </w:rPr>
                <w:t>raiej@univ-paris1.fr</w:t>
              </w:r>
            </w:hyperlink>
            <w:r w:rsidRPr="00D052B7">
              <w:rPr>
                <w:rFonts w:ascii="Arial" w:hAnsi="Arial" w:cs="Arial"/>
                <w:color w:val="FF0000"/>
                <w:sz w:val="24"/>
                <w:szCs w:val="24"/>
              </w:rPr>
              <w:t xml:space="preserve"> – </w:t>
            </w:r>
            <w:hyperlink r:id="rId9" w:history="1">
              <w:r w:rsidRPr="00D052B7">
                <w:rPr>
                  <w:rStyle w:val="Lienhypertexte"/>
                  <w:rFonts w:ascii="Arial" w:hAnsi="Arial" w:cs="Arial"/>
                  <w:sz w:val="24"/>
                  <w:szCs w:val="24"/>
                </w:rPr>
                <w:t>Hakim.Bouchikeir@univ-paris1.fr</w:t>
              </w:r>
            </w:hyperlink>
          </w:p>
          <w:p w14:paraId="171EA2C6" w14:textId="77777777" w:rsidR="00BB250B" w:rsidRPr="00D052B7" w:rsidRDefault="00BB250B" w:rsidP="00BB250B">
            <w:pPr>
              <w:spacing w:after="0"/>
              <w:jc w:val="both"/>
              <w:rPr>
                <w:rFonts w:ascii="Arial" w:hAnsi="Arial" w:cs="Arial"/>
                <w:color w:val="FF0000"/>
                <w:sz w:val="24"/>
                <w:szCs w:val="24"/>
              </w:rPr>
            </w:pPr>
            <w:r w:rsidRPr="00D052B7">
              <w:rPr>
                <w:rFonts w:ascii="Arial" w:hAnsi="Arial" w:cs="Arial"/>
                <w:color w:val="FF0000"/>
                <w:sz w:val="24"/>
                <w:szCs w:val="24"/>
              </w:rPr>
              <w:t>Centre Broca</w:t>
            </w:r>
          </w:p>
          <w:p w14:paraId="0D5735D0" w14:textId="77777777" w:rsidR="00BB250B" w:rsidRPr="00D052B7" w:rsidRDefault="00BB250B" w:rsidP="00BB250B">
            <w:pPr>
              <w:spacing w:after="0"/>
              <w:jc w:val="both"/>
              <w:rPr>
                <w:rFonts w:ascii="Arial" w:hAnsi="Arial" w:cs="Arial"/>
                <w:color w:val="FF0000"/>
                <w:sz w:val="24"/>
                <w:szCs w:val="24"/>
              </w:rPr>
            </w:pPr>
            <w:r w:rsidRPr="00D052B7">
              <w:rPr>
                <w:rFonts w:ascii="Arial" w:hAnsi="Arial" w:cs="Arial"/>
                <w:color w:val="FF0000"/>
                <w:sz w:val="24"/>
                <w:szCs w:val="24"/>
              </w:rPr>
              <w:t>Bâtiment A, 6e étage</w:t>
            </w:r>
          </w:p>
          <w:p w14:paraId="65B822A9" w14:textId="77777777" w:rsidR="00BB250B" w:rsidRPr="00D052B7" w:rsidRDefault="00BB250B" w:rsidP="00BB250B">
            <w:pPr>
              <w:spacing w:after="0"/>
              <w:jc w:val="both"/>
              <w:rPr>
                <w:rFonts w:ascii="Arial" w:hAnsi="Arial" w:cs="Arial"/>
                <w:color w:val="FF0000"/>
                <w:sz w:val="24"/>
                <w:szCs w:val="24"/>
              </w:rPr>
            </w:pPr>
            <w:r w:rsidRPr="00D052B7">
              <w:rPr>
                <w:rFonts w:ascii="Arial" w:hAnsi="Arial" w:cs="Arial"/>
                <w:color w:val="FF0000"/>
                <w:sz w:val="24"/>
                <w:szCs w:val="24"/>
              </w:rPr>
              <w:t>21, rue Broca</w:t>
            </w:r>
          </w:p>
          <w:p w14:paraId="64168CC7" w14:textId="77777777" w:rsidR="00BB250B" w:rsidRPr="00D052B7" w:rsidRDefault="00BB250B" w:rsidP="00BB250B">
            <w:pPr>
              <w:tabs>
                <w:tab w:val="left" w:pos="9495"/>
              </w:tabs>
              <w:spacing w:after="0"/>
              <w:jc w:val="both"/>
              <w:rPr>
                <w:rFonts w:ascii="Arial" w:hAnsi="Arial" w:cs="Arial"/>
                <w:color w:val="FF0000"/>
                <w:sz w:val="24"/>
                <w:szCs w:val="24"/>
              </w:rPr>
            </w:pPr>
            <w:r w:rsidRPr="00D052B7">
              <w:rPr>
                <w:rFonts w:ascii="Arial" w:hAnsi="Arial" w:cs="Arial"/>
                <w:color w:val="FF0000"/>
                <w:sz w:val="24"/>
                <w:szCs w:val="24"/>
              </w:rPr>
              <w:t>75005 Paris</w:t>
            </w:r>
          </w:p>
          <w:p w14:paraId="502390E6" w14:textId="77777777" w:rsidR="003979C8" w:rsidRPr="003979C8" w:rsidRDefault="003979C8" w:rsidP="003979C8">
            <w:pPr>
              <w:tabs>
                <w:tab w:val="left" w:pos="9495"/>
              </w:tabs>
              <w:spacing w:after="0"/>
              <w:jc w:val="both"/>
              <w:rPr>
                <w:color w:val="FF0000"/>
              </w:rPr>
            </w:pPr>
            <w:r w:rsidRPr="003979C8">
              <w:rPr>
                <w:color w:val="FF0000"/>
              </w:rPr>
              <w:tab/>
            </w:r>
          </w:p>
        </w:tc>
      </w:tr>
    </w:tbl>
    <w:p w14:paraId="1EC7EEC7" w14:textId="77777777" w:rsidR="003979C8" w:rsidRPr="00B455AC" w:rsidRDefault="003979C8" w:rsidP="003979C8">
      <w:pPr>
        <w:spacing w:after="0" w:line="240" w:lineRule="auto"/>
        <w:contextualSpacing/>
        <w:rPr>
          <w:rFonts w:ascii="Times New Roman" w:hAnsi="Times New Roman"/>
        </w:rPr>
      </w:pPr>
    </w:p>
    <w:sectPr w:rsidR="003979C8" w:rsidRPr="00B455AC" w:rsidSect="00647D54">
      <w:headerReference w:type="default" r:id="rId10"/>
      <w:footerReference w:type="default" r:id="rId11"/>
      <w:pgSz w:w="11907" w:h="16840" w:code="9"/>
      <w:pgMar w:top="0" w:right="1304" w:bottom="284" w:left="130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5BD86" w14:textId="77777777" w:rsidR="00F35B42" w:rsidRDefault="00F35B42">
      <w:pPr>
        <w:spacing w:after="0" w:line="240" w:lineRule="auto"/>
      </w:pPr>
      <w:r>
        <w:separator/>
      </w:r>
    </w:p>
  </w:endnote>
  <w:endnote w:type="continuationSeparator" w:id="0">
    <w:p w14:paraId="34BD1055" w14:textId="77777777" w:rsidR="00F35B42" w:rsidRDefault="00F3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EBCC" w14:textId="77777777" w:rsidR="001D481A" w:rsidRDefault="001D481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55137" w14:textId="77777777" w:rsidR="00F35B42" w:rsidRDefault="00F35B42">
      <w:pPr>
        <w:spacing w:after="0" w:line="240" w:lineRule="auto"/>
      </w:pPr>
      <w:r>
        <w:separator/>
      </w:r>
    </w:p>
  </w:footnote>
  <w:footnote w:type="continuationSeparator" w:id="0">
    <w:p w14:paraId="608394EC" w14:textId="77777777" w:rsidR="00F35B42" w:rsidRDefault="00F35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17FE" w14:textId="77777777" w:rsidR="001D481A" w:rsidRDefault="001D481A">
    <w:pPr>
      <w:pStyle w:val="En-tte"/>
    </w:pPr>
  </w:p>
  <w:p w14:paraId="03DA2160" w14:textId="77777777" w:rsidR="001D481A" w:rsidRDefault="001D481A">
    <w:pPr>
      <w:pStyle w:val="En-tte"/>
      <w:rPr>
        <w:b/>
        <w:sz w:val="16"/>
      </w:rPr>
    </w:pPr>
    <w:r>
      <w:rPr>
        <w:b/>
        <w:sz w:val="16"/>
      </w:rPr>
      <w:tab/>
    </w:r>
    <w:r>
      <w:rPr>
        <w:b/>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EF2"/>
    <w:multiLevelType w:val="hybridMultilevel"/>
    <w:tmpl w:val="4A6EAADC"/>
    <w:lvl w:ilvl="0" w:tplc="A8F692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34D04"/>
    <w:multiLevelType w:val="hybridMultilevel"/>
    <w:tmpl w:val="0DF6DA22"/>
    <w:lvl w:ilvl="0" w:tplc="40E6130C">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C1FD3"/>
    <w:multiLevelType w:val="hybridMultilevel"/>
    <w:tmpl w:val="11F2CF16"/>
    <w:lvl w:ilvl="0" w:tplc="B992A5A4">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56FE1"/>
    <w:multiLevelType w:val="hybridMultilevel"/>
    <w:tmpl w:val="86BEC696"/>
    <w:lvl w:ilvl="0" w:tplc="AEF22D98">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3D5FE0"/>
    <w:multiLevelType w:val="hybridMultilevel"/>
    <w:tmpl w:val="5AC4A4D0"/>
    <w:lvl w:ilvl="0" w:tplc="4DFADFC6">
      <w:numFmt w:val="bullet"/>
      <w:lvlText w:val="-"/>
      <w:lvlJc w:val="left"/>
      <w:pPr>
        <w:ind w:left="714"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B21EA8"/>
    <w:multiLevelType w:val="hybridMultilevel"/>
    <w:tmpl w:val="C0947EA0"/>
    <w:lvl w:ilvl="0" w:tplc="A78C2A8C">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5E7A6A"/>
    <w:multiLevelType w:val="hybridMultilevel"/>
    <w:tmpl w:val="5FBC068C"/>
    <w:lvl w:ilvl="0" w:tplc="ACE67A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9E7801"/>
    <w:multiLevelType w:val="hybridMultilevel"/>
    <w:tmpl w:val="40E27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32471AE"/>
    <w:multiLevelType w:val="hybridMultilevel"/>
    <w:tmpl w:val="D1C88370"/>
    <w:lvl w:ilvl="0" w:tplc="7F3EEDD0">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2C1151"/>
    <w:multiLevelType w:val="hybridMultilevel"/>
    <w:tmpl w:val="5D887DC8"/>
    <w:lvl w:ilvl="0" w:tplc="AD46CECE">
      <w:start w:val="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D86ACF"/>
    <w:multiLevelType w:val="hybridMultilevel"/>
    <w:tmpl w:val="392CA498"/>
    <w:lvl w:ilvl="0" w:tplc="EE0AA1A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0322E7"/>
    <w:multiLevelType w:val="hybridMultilevel"/>
    <w:tmpl w:val="C3427380"/>
    <w:lvl w:ilvl="0" w:tplc="50343E7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682756">
    <w:abstractNumId w:val="0"/>
  </w:num>
  <w:num w:numId="2" w16cid:durableId="158742203">
    <w:abstractNumId w:val="6"/>
  </w:num>
  <w:num w:numId="3" w16cid:durableId="1707100026">
    <w:abstractNumId w:val="4"/>
  </w:num>
  <w:num w:numId="4" w16cid:durableId="1692023857">
    <w:abstractNumId w:val="3"/>
  </w:num>
  <w:num w:numId="5" w16cid:durableId="1941796419">
    <w:abstractNumId w:val="7"/>
  </w:num>
  <w:num w:numId="6" w16cid:durableId="1287933994">
    <w:abstractNumId w:val="5"/>
  </w:num>
  <w:num w:numId="7" w16cid:durableId="424111390">
    <w:abstractNumId w:val="2"/>
  </w:num>
  <w:num w:numId="8" w16cid:durableId="1814056165">
    <w:abstractNumId w:val="10"/>
  </w:num>
  <w:num w:numId="9" w16cid:durableId="907229201">
    <w:abstractNumId w:val="8"/>
  </w:num>
  <w:num w:numId="10" w16cid:durableId="820389808">
    <w:abstractNumId w:val="1"/>
  </w:num>
  <w:num w:numId="11" w16cid:durableId="919215964">
    <w:abstractNumId w:val="5"/>
    <w:lvlOverride w:ilvl="0"/>
    <w:lvlOverride w:ilvl="1"/>
    <w:lvlOverride w:ilvl="2"/>
    <w:lvlOverride w:ilvl="3"/>
    <w:lvlOverride w:ilvl="4"/>
    <w:lvlOverride w:ilvl="5"/>
    <w:lvlOverride w:ilvl="6"/>
    <w:lvlOverride w:ilvl="7"/>
    <w:lvlOverride w:ilvl="8"/>
  </w:num>
  <w:num w:numId="12" w16cid:durableId="1064834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9403686">
    <w:abstractNumId w:val="9"/>
  </w:num>
  <w:num w:numId="14" w16cid:durableId="924385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1C"/>
    <w:rsid w:val="00004FCC"/>
    <w:rsid w:val="00025C54"/>
    <w:rsid w:val="00025DB7"/>
    <w:rsid w:val="00037BF8"/>
    <w:rsid w:val="00045DFD"/>
    <w:rsid w:val="000D589C"/>
    <w:rsid w:val="00131D62"/>
    <w:rsid w:val="00141105"/>
    <w:rsid w:val="00143E3A"/>
    <w:rsid w:val="001A4064"/>
    <w:rsid w:val="001D481A"/>
    <w:rsid w:val="001E1B92"/>
    <w:rsid w:val="001F11B2"/>
    <w:rsid w:val="00201C3D"/>
    <w:rsid w:val="002C217F"/>
    <w:rsid w:val="003338F5"/>
    <w:rsid w:val="0037017F"/>
    <w:rsid w:val="003979C8"/>
    <w:rsid w:val="003F05EF"/>
    <w:rsid w:val="004223D8"/>
    <w:rsid w:val="00455D6E"/>
    <w:rsid w:val="004600E6"/>
    <w:rsid w:val="00464E1C"/>
    <w:rsid w:val="00496EE6"/>
    <w:rsid w:val="004B1D3A"/>
    <w:rsid w:val="004E33BB"/>
    <w:rsid w:val="004E3878"/>
    <w:rsid w:val="00500CB9"/>
    <w:rsid w:val="005162B2"/>
    <w:rsid w:val="00560B23"/>
    <w:rsid w:val="005677E7"/>
    <w:rsid w:val="005954AA"/>
    <w:rsid w:val="005B7077"/>
    <w:rsid w:val="005C2558"/>
    <w:rsid w:val="005E2E7B"/>
    <w:rsid w:val="005E455C"/>
    <w:rsid w:val="005E5A27"/>
    <w:rsid w:val="005F70C9"/>
    <w:rsid w:val="0063160E"/>
    <w:rsid w:val="00647D54"/>
    <w:rsid w:val="0066630B"/>
    <w:rsid w:val="00692F77"/>
    <w:rsid w:val="006F7256"/>
    <w:rsid w:val="0071696C"/>
    <w:rsid w:val="007353BD"/>
    <w:rsid w:val="00741742"/>
    <w:rsid w:val="007E3D98"/>
    <w:rsid w:val="00813C7F"/>
    <w:rsid w:val="00840980"/>
    <w:rsid w:val="00843BAF"/>
    <w:rsid w:val="0085409C"/>
    <w:rsid w:val="008743F8"/>
    <w:rsid w:val="00897A6B"/>
    <w:rsid w:val="008D58DF"/>
    <w:rsid w:val="009137AB"/>
    <w:rsid w:val="00940BB1"/>
    <w:rsid w:val="0095183A"/>
    <w:rsid w:val="00991186"/>
    <w:rsid w:val="009A0049"/>
    <w:rsid w:val="00A013DF"/>
    <w:rsid w:val="00A76B89"/>
    <w:rsid w:val="00AA75F6"/>
    <w:rsid w:val="00AC033E"/>
    <w:rsid w:val="00AC3906"/>
    <w:rsid w:val="00AF277F"/>
    <w:rsid w:val="00B13384"/>
    <w:rsid w:val="00B317BD"/>
    <w:rsid w:val="00B455AC"/>
    <w:rsid w:val="00B86103"/>
    <w:rsid w:val="00B86811"/>
    <w:rsid w:val="00B91229"/>
    <w:rsid w:val="00B9361A"/>
    <w:rsid w:val="00BA4CF3"/>
    <w:rsid w:val="00BB250B"/>
    <w:rsid w:val="00BD127D"/>
    <w:rsid w:val="00C32091"/>
    <w:rsid w:val="00C658E1"/>
    <w:rsid w:val="00C67C5C"/>
    <w:rsid w:val="00CA23CC"/>
    <w:rsid w:val="00CA6985"/>
    <w:rsid w:val="00CE603C"/>
    <w:rsid w:val="00D128EB"/>
    <w:rsid w:val="00D2443E"/>
    <w:rsid w:val="00D40AB8"/>
    <w:rsid w:val="00D62339"/>
    <w:rsid w:val="00DC5EBC"/>
    <w:rsid w:val="00DF1CEA"/>
    <w:rsid w:val="00DF61BC"/>
    <w:rsid w:val="00E76C97"/>
    <w:rsid w:val="00E84686"/>
    <w:rsid w:val="00E92807"/>
    <w:rsid w:val="00E97B94"/>
    <w:rsid w:val="00F23304"/>
    <w:rsid w:val="00F35B42"/>
    <w:rsid w:val="00F44ED1"/>
    <w:rsid w:val="00F71C5E"/>
    <w:rsid w:val="00F947B9"/>
    <w:rsid w:val="00FA46A9"/>
    <w:rsid w:val="00FD3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D11"/>
  <w15:chartTrackingRefBased/>
  <w15:docId w15:val="{213CD184-9ACF-48B8-B5EF-007345D5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64E1C"/>
    <w:pPr>
      <w:tabs>
        <w:tab w:val="center" w:pos="4536"/>
        <w:tab w:val="right" w:pos="9072"/>
      </w:tabs>
      <w:overflowPunct w:val="0"/>
      <w:autoSpaceDE w:val="0"/>
      <w:autoSpaceDN w:val="0"/>
      <w:adjustRightInd w:val="0"/>
      <w:spacing w:after="0" w:line="240" w:lineRule="auto"/>
      <w:textAlignment w:val="baseline"/>
    </w:pPr>
    <w:rPr>
      <w:rFonts w:ascii="CG Times (W1)" w:eastAsia="Times New Roman" w:hAnsi="CG Times (W1)"/>
      <w:kern w:val="16"/>
      <w:sz w:val="24"/>
      <w:szCs w:val="20"/>
      <w:lang w:eastAsia="fr-FR"/>
    </w:rPr>
  </w:style>
  <w:style w:type="character" w:customStyle="1" w:styleId="En-tteCar">
    <w:name w:val="En-tête Car"/>
    <w:link w:val="En-tte"/>
    <w:rsid w:val="00464E1C"/>
    <w:rPr>
      <w:rFonts w:ascii="CG Times (W1)" w:eastAsia="Times New Roman" w:hAnsi="CG Times (W1)"/>
      <w:kern w:val="16"/>
      <w:sz w:val="24"/>
    </w:rPr>
  </w:style>
  <w:style w:type="paragraph" w:styleId="Pieddepage">
    <w:name w:val="footer"/>
    <w:basedOn w:val="Normal"/>
    <w:link w:val="PieddepageCar"/>
    <w:rsid w:val="00464E1C"/>
    <w:pPr>
      <w:tabs>
        <w:tab w:val="center" w:pos="4536"/>
        <w:tab w:val="right" w:pos="9072"/>
      </w:tabs>
      <w:overflowPunct w:val="0"/>
      <w:autoSpaceDE w:val="0"/>
      <w:autoSpaceDN w:val="0"/>
      <w:adjustRightInd w:val="0"/>
      <w:spacing w:after="0" w:line="240" w:lineRule="auto"/>
      <w:textAlignment w:val="baseline"/>
    </w:pPr>
    <w:rPr>
      <w:rFonts w:ascii="CG Times (W1)" w:eastAsia="Times New Roman" w:hAnsi="CG Times (W1)"/>
      <w:kern w:val="16"/>
      <w:sz w:val="24"/>
      <w:szCs w:val="20"/>
      <w:lang w:eastAsia="fr-FR"/>
    </w:rPr>
  </w:style>
  <w:style w:type="character" w:customStyle="1" w:styleId="PieddepageCar">
    <w:name w:val="Pied de page Car"/>
    <w:link w:val="Pieddepage"/>
    <w:rsid w:val="00464E1C"/>
    <w:rPr>
      <w:rFonts w:ascii="CG Times (W1)" w:eastAsia="Times New Roman" w:hAnsi="CG Times (W1)"/>
      <w:kern w:val="16"/>
      <w:sz w:val="24"/>
    </w:rPr>
  </w:style>
  <w:style w:type="character" w:styleId="Numrodepage">
    <w:name w:val="page number"/>
    <w:rsid w:val="00464E1C"/>
  </w:style>
  <w:style w:type="paragraph" w:styleId="NormalWeb">
    <w:name w:val="Normal (Web)"/>
    <w:basedOn w:val="Normal"/>
    <w:uiPriority w:val="99"/>
    <w:unhideWhenUsed/>
    <w:rsid w:val="005677E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677E7"/>
    <w:rPr>
      <w:b/>
      <w:bCs/>
    </w:rPr>
  </w:style>
  <w:style w:type="character" w:styleId="Lienhypertexte">
    <w:name w:val="Hyperlink"/>
    <w:uiPriority w:val="99"/>
    <w:unhideWhenUsed/>
    <w:rsid w:val="00B86103"/>
    <w:rPr>
      <w:color w:val="0000FF"/>
      <w:u w:val="single"/>
    </w:rPr>
  </w:style>
  <w:style w:type="paragraph" w:styleId="Paragraphedeliste">
    <w:name w:val="List Paragraph"/>
    <w:basedOn w:val="Normal"/>
    <w:uiPriority w:val="34"/>
    <w:qFormat/>
    <w:rsid w:val="00E76C97"/>
    <w:pPr>
      <w:spacing w:after="160" w:line="259" w:lineRule="auto"/>
      <w:ind w:left="720"/>
      <w:contextualSpacing/>
    </w:pPr>
  </w:style>
  <w:style w:type="character" w:customStyle="1" w:styleId="hgkelc">
    <w:name w:val="hgkelc"/>
    <w:rsid w:val="003979C8"/>
  </w:style>
  <w:style w:type="character" w:styleId="Mentionnonrsolue">
    <w:name w:val="Unresolved Mention"/>
    <w:uiPriority w:val="99"/>
    <w:semiHidden/>
    <w:unhideWhenUsed/>
    <w:rsid w:val="0039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1449">
      <w:bodyDiv w:val="1"/>
      <w:marLeft w:val="0"/>
      <w:marRight w:val="0"/>
      <w:marTop w:val="0"/>
      <w:marBottom w:val="0"/>
      <w:divBdr>
        <w:top w:val="none" w:sz="0" w:space="0" w:color="auto"/>
        <w:left w:val="none" w:sz="0" w:space="0" w:color="auto"/>
        <w:bottom w:val="none" w:sz="0" w:space="0" w:color="auto"/>
        <w:right w:val="none" w:sz="0" w:space="0" w:color="auto"/>
      </w:divBdr>
    </w:div>
    <w:div w:id="733773727">
      <w:bodyDiv w:val="1"/>
      <w:marLeft w:val="0"/>
      <w:marRight w:val="0"/>
      <w:marTop w:val="0"/>
      <w:marBottom w:val="0"/>
      <w:divBdr>
        <w:top w:val="none" w:sz="0" w:space="0" w:color="auto"/>
        <w:left w:val="none" w:sz="0" w:space="0" w:color="auto"/>
        <w:bottom w:val="none" w:sz="0" w:space="0" w:color="auto"/>
        <w:right w:val="none" w:sz="0" w:space="0" w:color="auto"/>
      </w:divBdr>
    </w:div>
    <w:div w:id="1599678378">
      <w:bodyDiv w:val="1"/>
      <w:marLeft w:val="0"/>
      <w:marRight w:val="0"/>
      <w:marTop w:val="0"/>
      <w:marBottom w:val="0"/>
      <w:divBdr>
        <w:top w:val="none" w:sz="0" w:space="0" w:color="auto"/>
        <w:left w:val="none" w:sz="0" w:space="0" w:color="auto"/>
        <w:bottom w:val="none" w:sz="0" w:space="0" w:color="auto"/>
        <w:right w:val="none" w:sz="0" w:space="0" w:color="auto"/>
      </w:divBdr>
    </w:div>
    <w:div w:id="1691639906">
      <w:bodyDiv w:val="1"/>
      <w:marLeft w:val="0"/>
      <w:marRight w:val="0"/>
      <w:marTop w:val="0"/>
      <w:marBottom w:val="0"/>
      <w:divBdr>
        <w:top w:val="none" w:sz="0" w:space="0" w:color="auto"/>
        <w:left w:val="none" w:sz="0" w:space="0" w:color="auto"/>
        <w:bottom w:val="none" w:sz="0" w:space="0" w:color="auto"/>
        <w:right w:val="none" w:sz="0" w:space="0" w:color="auto"/>
      </w:divBdr>
      <w:divsChild>
        <w:div w:id="1784693640">
          <w:marLeft w:val="0"/>
          <w:marRight w:val="0"/>
          <w:marTop w:val="0"/>
          <w:marBottom w:val="0"/>
          <w:divBdr>
            <w:top w:val="none" w:sz="0" w:space="0" w:color="auto"/>
            <w:left w:val="none" w:sz="0" w:space="0" w:color="auto"/>
            <w:bottom w:val="none" w:sz="0" w:space="0" w:color="auto"/>
            <w:right w:val="none" w:sz="0" w:space="0" w:color="auto"/>
          </w:divBdr>
          <w:divsChild>
            <w:div w:id="1959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0674">
      <w:bodyDiv w:val="1"/>
      <w:marLeft w:val="0"/>
      <w:marRight w:val="0"/>
      <w:marTop w:val="0"/>
      <w:marBottom w:val="0"/>
      <w:divBdr>
        <w:top w:val="none" w:sz="0" w:space="0" w:color="auto"/>
        <w:left w:val="none" w:sz="0" w:space="0" w:color="auto"/>
        <w:bottom w:val="none" w:sz="0" w:space="0" w:color="auto"/>
        <w:right w:val="none" w:sz="0" w:space="0" w:color="auto"/>
      </w:divBdr>
    </w:div>
    <w:div w:id="2013995697">
      <w:bodyDiv w:val="1"/>
      <w:marLeft w:val="0"/>
      <w:marRight w:val="0"/>
      <w:marTop w:val="0"/>
      <w:marBottom w:val="0"/>
      <w:divBdr>
        <w:top w:val="none" w:sz="0" w:space="0" w:color="auto"/>
        <w:left w:val="none" w:sz="0" w:space="0" w:color="auto"/>
        <w:bottom w:val="none" w:sz="0" w:space="0" w:color="auto"/>
        <w:right w:val="none" w:sz="0" w:space="0" w:color="auto"/>
      </w:divBdr>
    </w:div>
    <w:div w:id="20616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j.raiej@univ-paris1.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akim.Bouchikeir@univ-paris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6814</CharactersWithSpaces>
  <SharedDoc>false</SharedDoc>
  <HLinks>
    <vt:vector size="12" baseType="variant">
      <vt:variant>
        <vt:i4>262256</vt:i4>
      </vt:variant>
      <vt:variant>
        <vt:i4>3</vt:i4>
      </vt:variant>
      <vt:variant>
        <vt:i4>0</vt:i4>
      </vt:variant>
      <vt:variant>
        <vt:i4>5</vt:i4>
      </vt:variant>
      <vt:variant>
        <vt:lpwstr>mailto:Hakim.Bouchikeir@univ-paris1.fr</vt:lpwstr>
      </vt:variant>
      <vt:variant>
        <vt:lpwstr/>
      </vt:variant>
      <vt:variant>
        <vt:i4>7733251</vt:i4>
      </vt:variant>
      <vt:variant>
        <vt:i4>0</vt:i4>
      </vt:variant>
      <vt:variant>
        <vt:i4>0</vt:i4>
      </vt:variant>
      <vt:variant>
        <vt:i4>5</vt:i4>
      </vt:variant>
      <vt:variant>
        <vt:lpwstr>mailto:adj.raiej@univ-paris1.fr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Sandrine Cesareo</cp:lastModifiedBy>
  <cp:revision>2</cp:revision>
  <cp:lastPrinted>2018-06-14T09:54:00Z</cp:lastPrinted>
  <dcterms:created xsi:type="dcterms:W3CDTF">2024-10-11T07:41:00Z</dcterms:created>
  <dcterms:modified xsi:type="dcterms:W3CDTF">2024-10-11T07:41:00Z</dcterms:modified>
</cp:coreProperties>
</file>